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agwek3"/>
        <w:spacing w:before="280" w:after="280"/>
        <w:rPr>
          <w:rFonts w:ascii="Arial" w:hAnsi="Arial" w:eastAsia="Times New Roman" w:cs="Arial"/>
        </w:rPr>
      </w:pPr>
      <w:r>
        <w:rPr>
          <w:rFonts w:eastAsia="Times New Roman" w:cs="Arial" w:ascii="Arial" w:hAnsi="Arial"/>
        </w:rPr>
        <w:t xml:space="preserve">Formularz dla kwalifikacji </w:t>
      </w:r>
    </w:p>
    <w:p>
      <w:pPr>
        <w:pStyle w:val="Nagwek4"/>
        <w:rPr>
          <w:rFonts w:ascii="Arial" w:hAnsi="Arial" w:eastAsia="Times New Roman" w:cs="Arial"/>
        </w:rPr>
      </w:pPr>
      <w:r>
        <w:rPr>
          <w:rFonts w:eastAsia="Times New Roman" w:cs="Arial" w:ascii="Arial" w:hAnsi="Arial"/>
        </w:rPr>
        <w:t>Typ wniosku</w:t>
      </w:r>
    </w:p>
    <w:p>
      <w:pPr>
        <w:pStyle w:val="NormalWeb"/>
        <w:rPr>
          <w:rFonts w:ascii="Arial" w:hAnsi="Arial" w:cs="Arial"/>
          <w:sz w:val="15"/>
          <w:szCs w:val="15"/>
        </w:rPr>
      </w:pPr>
      <w:r>
        <w:rPr>
          <w:rFonts w:cs="Arial" w:ascii="Arial" w:hAnsi="Arial"/>
          <w:sz w:val="15"/>
          <w:szCs w:val="15"/>
        </w:rPr>
        <w:t>Wniosek o włączenie kwalifikacji do ZSK</w:t>
      </w:r>
    </w:p>
    <w:p>
      <w:pPr>
        <w:pStyle w:val="Nagwek4"/>
        <w:rPr>
          <w:rFonts w:ascii="Arial" w:hAnsi="Arial" w:eastAsia="Times New Roman" w:cs="Arial"/>
        </w:rPr>
      </w:pPr>
      <w:r>
        <w:rPr>
          <w:rFonts w:eastAsia="Times New Roman" w:cs="Arial" w:ascii="Arial" w:hAnsi="Arial"/>
        </w:rPr>
        <w:t>Nazwa kwalifikacji</w:t>
      </w:r>
    </w:p>
    <w:p>
      <w:pPr>
        <w:pStyle w:val="Nagwek4"/>
        <w:jc w:val="both"/>
        <w:rPr>
          <w:rFonts w:ascii="Arial" w:hAnsi="Arial" w:eastAsia="Times New Roman" w:cs="Arial"/>
          <w:sz w:val="15"/>
          <w:szCs w:val="15"/>
        </w:rPr>
      </w:pPr>
      <w:r>
        <w:rPr>
          <w:rFonts w:eastAsia="Calibri" w:cs="Arial" w:ascii="Arial" w:hAnsi="Arial"/>
          <w:b w:val="false"/>
          <w:sz w:val="15"/>
          <w:szCs w:val="15"/>
        </w:rPr>
        <w:t>Wykonywanie zadań w zakresie profilaktyki i terapii zmian patologicznych w obrębie stóp w ramach praktyki podologicznej.</w:t>
      </w:r>
      <w:r>
        <w:rPr>
          <w:rFonts w:eastAsia="Times New Roman" w:cs="Arial" w:ascii="Arial" w:hAnsi="Arial"/>
          <w:sz w:val="15"/>
          <w:szCs w:val="15"/>
        </w:rPr>
        <w:t xml:space="preserve"> </w:t>
      </w:r>
    </w:p>
    <w:p>
      <w:pPr>
        <w:pStyle w:val="Nagwek4"/>
        <w:rPr>
          <w:rFonts w:ascii="Arial" w:hAnsi="Arial" w:eastAsia="Times New Roman" w:cs="Arial"/>
        </w:rPr>
      </w:pPr>
      <w:r>
        <w:rPr>
          <w:rFonts w:eastAsia="Times New Roman" w:cs="Arial" w:ascii="Arial" w:hAnsi="Arial"/>
        </w:rPr>
        <w:t>Skrót nazwy</w:t>
      </w:r>
    </w:p>
    <w:p>
      <w:pPr>
        <w:pStyle w:val="NormalWeb"/>
        <w:rPr>
          <w:rFonts w:ascii="Arial" w:hAnsi="Arial" w:cs="Arial"/>
          <w:sz w:val="15"/>
          <w:szCs w:val="15"/>
        </w:rPr>
      </w:pPr>
      <w:r>
        <w:rPr>
          <w:rFonts w:cs="Arial" w:ascii="Arial" w:hAnsi="Arial"/>
          <w:sz w:val="15"/>
          <w:szCs w:val="15"/>
        </w:rPr>
        <w:t>Wykonywanie praktyki podologicznej</w:t>
      </w:r>
    </w:p>
    <w:p>
      <w:pPr>
        <w:pStyle w:val="Nagwek4"/>
        <w:rPr>
          <w:rFonts w:ascii="Arial" w:hAnsi="Arial" w:eastAsia="Times New Roman" w:cs="Arial"/>
        </w:rPr>
      </w:pPr>
      <w:r>
        <w:rPr>
          <w:rFonts w:eastAsia="Times New Roman" w:cs="Arial" w:ascii="Arial" w:hAnsi="Arial"/>
        </w:rPr>
        <w:t>Rodzaj kwalifikacji</w:t>
      </w:r>
    </w:p>
    <w:p>
      <w:pPr>
        <w:pStyle w:val="NormalWeb"/>
        <w:rPr>
          <w:rFonts w:ascii="Arial" w:hAnsi="Arial" w:cs="Arial"/>
          <w:sz w:val="15"/>
          <w:szCs w:val="15"/>
        </w:rPr>
      </w:pPr>
      <w:r>
        <w:rPr>
          <w:rFonts w:cs="Arial" w:ascii="Arial" w:hAnsi="Arial"/>
          <w:sz w:val="15"/>
          <w:szCs w:val="15"/>
        </w:rPr>
        <w:t>Kwalifikacja cząstkowa</w:t>
      </w:r>
    </w:p>
    <w:p>
      <w:pPr>
        <w:pStyle w:val="Nagwek4"/>
        <w:rPr>
          <w:rFonts w:ascii="Arial" w:hAnsi="Arial" w:eastAsia="Times New Roman" w:cs="Arial"/>
        </w:rPr>
      </w:pPr>
      <w:r>
        <w:rPr>
          <w:rFonts w:eastAsia="Times New Roman" w:cs="Arial" w:ascii="Arial" w:hAnsi="Arial"/>
        </w:rPr>
        <w:t>Proponowany poziom Polskiej Ramy Kwalifikacji</w:t>
      </w:r>
    </w:p>
    <w:p>
      <w:pPr>
        <w:pStyle w:val="NormalWeb"/>
        <w:rPr>
          <w:rFonts w:ascii="Arial" w:hAnsi="Arial" w:cs="Arial"/>
          <w:sz w:val="15"/>
          <w:szCs w:val="15"/>
        </w:rPr>
      </w:pPr>
      <w:r>
        <w:rPr>
          <w:rFonts w:cs="Arial" w:ascii="Arial" w:hAnsi="Arial"/>
          <w:sz w:val="15"/>
          <w:szCs w:val="15"/>
        </w:rPr>
        <w:t xml:space="preserve">5 </w:t>
      </w:r>
    </w:p>
    <w:p>
      <w:pPr>
        <w:pStyle w:val="Nagwek4"/>
        <w:rPr>
          <w:rFonts w:ascii="Arial" w:hAnsi="Arial" w:eastAsia="Times New Roman" w:cs="Arial"/>
        </w:rPr>
      </w:pPr>
      <w:r>
        <w:rPr>
          <w:rFonts w:eastAsia="Times New Roman" w:cs="Arial" w:ascii="Arial" w:hAnsi="Arial"/>
        </w:rPr>
        <w:t>Krótka charakterystyka kwalifikacji, obejmująca informacje o działaniach lub zadaniach, które potrafi wykonywać osoba posiadająca tę kwalifikacje oraz orientacyjny koszt uzyskania dokumentu potwierdzającego otrzymanie danej kwalifikacji</w:t>
      </w:r>
    </w:p>
    <w:p>
      <w:pPr>
        <w:pStyle w:val="Normal"/>
        <w:spacing w:before="120" w:after="120"/>
        <w:jc w:val="both"/>
        <w:rPr>
          <w:rFonts w:ascii="Arial" w:hAnsi="Arial" w:cs="Arial"/>
          <w:sz w:val="15"/>
          <w:szCs w:val="15"/>
        </w:rPr>
      </w:pPr>
      <w:r>
        <w:rPr>
          <w:rFonts w:cs="Arial" w:ascii="Arial" w:hAnsi="Arial"/>
          <w:sz w:val="15"/>
          <w:szCs w:val="15"/>
        </w:rPr>
        <w:t xml:space="preserve">Osoba posiadająca kwalifikację “Wykonywanie zadań w zakresie profilaktyki i terapii zmian patologicznych w obrębie stóp w ramach praktyki podologicznej” jest przygotowana do samodzielnego wykonywania zabiegów podologicznych: dobiera narzędzia i wykonuje zabiegi podologiczne na skórze, paznokciu lub kieruje do specjalisty. Wykonuje odciążenia i ortozy, pobiera materiał do badań oraz zabezpiecza patologiczne zmiany w obrębie stóp. Posiada wiedzę na temat uwarunkowań prawnych związanych z prowadzeniem gabinetu podologicznego i wykonywaniem zabiegów podologicznych. Stosuje się do zasad higieny i bezpieczeństwa pracy podczas wykonywania czynności podologicznych. Przygotowuje zalecenia pozabiegowe, edukuje klienta i jego otoczenie oraz współpracuje ze specjalistami w zakresie terapii i profilaktyki zmian patologicznych w obrębie stóp. Samodzielnie korzysta z dostępnych możliwości aktualizacji i poszerzania kompetencji zawodowych. Przyjmuje odpowiedzialność związaną z działalnością zawodową oraz wspiera rozwój środowiska podologicznego w Polsce. Osoba posiadająca kwalifikację “Wykonywanie zadań w zakresie profilaktyki i terapii zmian patologicznych w obrębie stóp w ramach praktyki podologicznej” może znaleźć zatrudnienie w gabinetach podologicznych, w ośrodkach rehabilitacji, w szpitalach, w domach spokojnej starości lub prowadzić samodzielną praktykę podologiczną. </w:t>
      </w:r>
    </w:p>
    <w:p>
      <w:pPr>
        <w:pStyle w:val="NormalWeb"/>
        <w:jc w:val="both"/>
        <w:rPr>
          <w:rFonts w:ascii="Arial" w:hAnsi="Arial" w:cs="Arial"/>
          <w:sz w:val="15"/>
          <w:szCs w:val="15"/>
        </w:rPr>
      </w:pPr>
      <w:r>
        <w:rPr>
          <w:rFonts w:cs="Arial" w:ascii="Arial" w:hAnsi="Arial"/>
          <w:sz w:val="15"/>
          <w:szCs w:val="15"/>
        </w:rPr>
        <w:t xml:space="preserve">Orientacyjny koszt uzyskania kwalifikacji wynosi 3 500,00 PLN. </w:t>
      </w:r>
    </w:p>
    <w:p>
      <w:pPr>
        <w:pStyle w:val="Nagwek4"/>
        <w:rPr>
          <w:rFonts w:ascii="Arial" w:hAnsi="Arial" w:eastAsia="Times New Roman" w:cs="Arial"/>
        </w:rPr>
      </w:pPr>
      <w:r>
        <w:rPr>
          <w:rFonts w:eastAsia="Times New Roman" w:cs="Arial" w:ascii="Arial" w:hAnsi="Arial"/>
        </w:rPr>
        <w:t>Orientacyjny nakład pracy potrzebny do uzyskania kwalifikacji [godz.]</w:t>
      </w:r>
    </w:p>
    <w:p>
      <w:pPr>
        <w:pStyle w:val="NormalWeb"/>
        <w:rPr>
          <w:rFonts w:ascii="Arial" w:hAnsi="Arial" w:cs="Arial"/>
          <w:sz w:val="15"/>
          <w:szCs w:val="15"/>
        </w:rPr>
      </w:pPr>
      <w:r>
        <w:rPr>
          <w:rFonts w:cs="Arial" w:ascii="Arial" w:hAnsi="Arial"/>
          <w:sz w:val="15"/>
          <w:szCs w:val="15"/>
        </w:rPr>
        <w:t xml:space="preserve">1700 </w:t>
      </w:r>
    </w:p>
    <w:p>
      <w:pPr>
        <w:pStyle w:val="Nagwek4"/>
        <w:rPr>
          <w:rFonts w:ascii="Arial" w:hAnsi="Arial" w:eastAsia="Times New Roman" w:cs="Arial"/>
        </w:rPr>
      </w:pPr>
      <w:r>
        <w:rPr>
          <w:rFonts w:eastAsia="Times New Roman" w:cs="Arial" w:ascii="Arial" w:hAnsi="Arial"/>
        </w:rPr>
        <w:t>Grupy osób, które mogą być zainteresowane uzyskaniem kwalifikacji</w:t>
      </w:r>
    </w:p>
    <w:p>
      <w:pPr>
        <w:pStyle w:val="Normal"/>
        <w:spacing w:before="0" w:after="120"/>
        <w:contextualSpacing/>
        <w:jc w:val="both"/>
        <w:rPr>
          <w:rFonts w:ascii="Arial" w:hAnsi="Arial" w:cs="Arial"/>
          <w:sz w:val="15"/>
          <w:szCs w:val="15"/>
        </w:rPr>
      </w:pPr>
      <w:r>
        <w:rPr>
          <w:rFonts w:cs="Arial" w:ascii="Arial" w:hAnsi="Arial"/>
          <w:sz w:val="15"/>
          <w:szCs w:val="15"/>
        </w:rPr>
        <w:t xml:space="preserve">Uzyskaniem kwalifikacji mogą być zainteresowane osoby, które: </w:t>
      </w:r>
    </w:p>
    <w:p>
      <w:pPr>
        <w:pStyle w:val="Normal"/>
        <w:numPr>
          <w:ilvl w:val="0"/>
          <w:numId w:val="1"/>
        </w:numPr>
        <w:spacing w:lineRule="auto" w:line="276" w:before="0" w:after="120"/>
        <w:ind w:left="469" w:hanging="360"/>
        <w:contextualSpacing/>
        <w:jc w:val="both"/>
        <w:rPr>
          <w:rFonts w:ascii="Arial" w:hAnsi="Arial" w:cs="Arial"/>
          <w:sz w:val="15"/>
          <w:szCs w:val="15"/>
        </w:rPr>
      </w:pPr>
      <w:r>
        <w:rPr>
          <w:rFonts w:cs="Arial" w:ascii="Arial" w:hAnsi="Arial"/>
          <w:sz w:val="15"/>
          <w:szCs w:val="15"/>
        </w:rPr>
        <w:t xml:space="preserve">wykonują zabiegi kosmetyczne w tym pedicure, </w:t>
      </w:r>
    </w:p>
    <w:p>
      <w:pPr>
        <w:pStyle w:val="Normal"/>
        <w:numPr>
          <w:ilvl w:val="0"/>
          <w:numId w:val="1"/>
        </w:numPr>
        <w:spacing w:lineRule="auto" w:line="276" w:before="0" w:after="120"/>
        <w:ind w:left="469" w:hanging="360"/>
        <w:contextualSpacing/>
        <w:jc w:val="both"/>
        <w:rPr>
          <w:rFonts w:ascii="Arial" w:hAnsi="Arial" w:cs="Arial"/>
          <w:sz w:val="15"/>
          <w:szCs w:val="15"/>
        </w:rPr>
      </w:pPr>
      <w:r>
        <w:rPr>
          <w:rFonts w:cs="Arial" w:ascii="Arial" w:hAnsi="Arial"/>
          <w:sz w:val="15"/>
          <w:szCs w:val="15"/>
        </w:rPr>
        <w:t xml:space="preserve">są absolwentami kosmetologii, </w:t>
      </w:r>
    </w:p>
    <w:p>
      <w:pPr>
        <w:pStyle w:val="Normal"/>
        <w:numPr>
          <w:ilvl w:val="0"/>
          <w:numId w:val="1"/>
        </w:numPr>
        <w:spacing w:lineRule="auto" w:line="276" w:before="0" w:after="120"/>
        <w:ind w:left="469" w:hanging="360"/>
        <w:contextualSpacing/>
        <w:jc w:val="both"/>
        <w:rPr>
          <w:rFonts w:ascii="Arial" w:hAnsi="Arial" w:cs="Arial"/>
          <w:sz w:val="15"/>
          <w:szCs w:val="15"/>
        </w:rPr>
      </w:pPr>
      <w:r>
        <w:rPr>
          <w:rFonts w:cs="Arial" w:ascii="Arial" w:hAnsi="Arial"/>
          <w:sz w:val="15"/>
          <w:szCs w:val="15"/>
        </w:rPr>
        <w:t xml:space="preserve">są pracownikami ochrony zdrowia, </w:t>
      </w:r>
    </w:p>
    <w:p>
      <w:pPr>
        <w:pStyle w:val="Normal"/>
        <w:numPr>
          <w:ilvl w:val="0"/>
          <w:numId w:val="1"/>
        </w:numPr>
        <w:spacing w:lineRule="auto" w:line="276" w:before="0" w:after="120"/>
        <w:ind w:left="469" w:hanging="360"/>
        <w:contextualSpacing/>
        <w:jc w:val="both"/>
        <w:rPr>
          <w:rFonts w:ascii="Arial" w:hAnsi="Arial" w:cs="Arial"/>
          <w:sz w:val="15"/>
          <w:szCs w:val="15"/>
        </w:rPr>
      </w:pPr>
      <w:r>
        <w:rPr>
          <w:rFonts w:cs="Arial" w:ascii="Arial" w:hAnsi="Arial"/>
          <w:sz w:val="15"/>
          <w:szCs w:val="15"/>
        </w:rPr>
        <w:t xml:space="preserve">mają doświadczenie w obszarze podologii i chciałyby formalnie potwierdzić swoje kwalifikacje oraz wszystkie osoby zainteresowane uzyskaniem kwalifikacji.. </w:t>
      </w:r>
    </w:p>
    <w:p>
      <w:pPr>
        <w:pStyle w:val="Nagwek4"/>
        <w:rPr>
          <w:rFonts w:ascii="Arial" w:hAnsi="Arial" w:eastAsia="Times New Roman" w:cs="Arial"/>
        </w:rPr>
      </w:pPr>
      <w:r>
        <w:rPr>
          <w:rFonts w:eastAsia="Times New Roman" w:cs="Arial" w:ascii="Arial" w:hAnsi="Arial"/>
        </w:rPr>
      </w:r>
    </w:p>
    <w:p>
      <w:pPr>
        <w:pStyle w:val="Nagwek4"/>
        <w:rPr>
          <w:rFonts w:ascii="Arial" w:hAnsi="Arial" w:eastAsia="Times New Roman" w:cs="Arial"/>
        </w:rPr>
      </w:pPr>
      <w:r>
        <w:rPr>
          <w:rFonts w:eastAsia="Times New Roman" w:cs="Arial" w:ascii="Arial" w:hAnsi="Arial"/>
        </w:rPr>
        <w:t>Wymagane kwalifikacje poprzedzające</w:t>
      </w:r>
    </w:p>
    <w:p>
      <w:pPr>
        <w:pStyle w:val="NormalWeb"/>
        <w:rPr>
          <w:rFonts w:ascii="Arial" w:hAnsi="Arial" w:cs="Arial"/>
          <w:sz w:val="15"/>
          <w:szCs w:val="15"/>
        </w:rPr>
      </w:pPr>
      <w:r>
        <w:rPr>
          <w:rFonts w:cs="Arial" w:ascii="Arial" w:hAnsi="Arial"/>
          <w:sz w:val="15"/>
          <w:szCs w:val="15"/>
        </w:rPr>
        <w:t xml:space="preserve">4 PRK </w:t>
      </w:r>
    </w:p>
    <w:p>
      <w:pPr>
        <w:pStyle w:val="Nagwek4"/>
        <w:rPr>
          <w:rFonts w:ascii="Arial" w:hAnsi="Arial" w:eastAsia="Times New Roman" w:cs="Arial"/>
        </w:rPr>
      </w:pPr>
      <w:r>
        <w:rPr>
          <w:rFonts w:eastAsia="Times New Roman" w:cs="Arial" w:ascii="Arial" w:hAnsi="Arial"/>
        </w:rPr>
        <w:t>W razie potrzeby warunki, jakie musi spełniać osoba przystępująca do walidacji</w:t>
      </w:r>
    </w:p>
    <w:p>
      <w:pPr>
        <w:pStyle w:val="Normalny1"/>
        <w:pBdr/>
        <w:spacing w:lineRule="auto" w:line="276" w:before="120" w:after="120"/>
        <w:ind w:left="79" w:hanging="0"/>
        <w:contextualSpacing/>
        <w:jc w:val="both"/>
        <w:rPr>
          <w:sz w:val="15"/>
          <w:szCs w:val="15"/>
        </w:rPr>
      </w:pPr>
      <w:r>
        <w:rPr>
          <w:sz w:val="15"/>
          <w:szCs w:val="15"/>
        </w:rPr>
        <w:t>Warunkiem przystąpienia do walidacji jest:</w:t>
      </w:r>
    </w:p>
    <w:p>
      <w:pPr>
        <w:pStyle w:val="Normalny1"/>
        <w:numPr>
          <w:ilvl w:val="0"/>
          <w:numId w:val="2"/>
        </w:numPr>
        <w:pBdr/>
        <w:spacing w:lineRule="auto" w:line="276" w:before="120" w:after="120"/>
        <w:ind w:left="469" w:hanging="360"/>
        <w:contextualSpacing/>
        <w:jc w:val="both"/>
        <w:rPr>
          <w:sz w:val="15"/>
          <w:szCs w:val="15"/>
        </w:rPr>
      </w:pPr>
      <w:r>
        <w:rPr>
          <w:sz w:val="15"/>
          <w:szCs w:val="15"/>
        </w:rPr>
        <w:t>przedstawienie zaświadczenia o ukończeniu kursu pierwszej pomocy min. 8h potwierdzone w ciągu ostatnich 2 lat,</w:t>
      </w:r>
    </w:p>
    <w:p>
      <w:pPr>
        <w:pStyle w:val="Normalny1"/>
        <w:numPr>
          <w:ilvl w:val="0"/>
          <w:numId w:val="2"/>
        </w:numPr>
        <w:pBdr/>
        <w:spacing w:lineRule="auto" w:line="276" w:before="120" w:after="120"/>
        <w:ind w:left="469" w:hanging="360"/>
        <w:contextualSpacing/>
        <w:jc w:val="both"/>
        <w:rPr>
          <w:sz w:val="15"/>
          <w:szCs w:val="15"/>
        </w:rPr>
      </w:pPr>
      <w:r>
        <w:rPr>
          <w:sz w:val="15"/>
          <w:szCs w:val="15"/>
        </w:rPr>
        <w:t>ważna książeczka sanitarno – epidemiologiczna,</w:t>
      </w:r>
    </w:p>
    <w:p>
      <w:pPr>
        <w:pStyle w:val="Normalny1"/>
        <w:numPr>
          <w:ilvl w:val="0"/>
          <w:numId w:val="2"/>
        </w:numPr>
        <w:pBdr/>
        <w:spacing w:lineRule="auto" w:line="276" w:before="120" w:after="120"/>
        <w:ind w:left="469" w:hanging="360"/>
        <w:contextualSpacing/>
        <w:jc w:val="both"/>
        <w:rPr>
          <w:sz w:val="15"/>
          <w:szCs w:val="15"/>
        </w:rPr>
      </w:pPr>
      <w:r>
        <w:rPr>
          <w:sz w:val="15"/>
          <w:szCs w:val="15"/>
        </w:rPr>
        <w:t>posiadanie ubezpieczenia od odpowiedzialności cywilnej w zakresie zadań objętych kwalifikacją.</w:t>
      </w:r>
    </w:p>
    <w:p>
      <w:pPr>
        <w:pStyle w:val="Nagwek4"/>
        <w:rPr>
          <w:rFonts w:ascii="Arial" w:hAnsi="Arial" w:eastAsia="Times New Roman" w:cs="Arial"/>
        </w:rPr>
      </w:pPr>
      <w:r>
        <w:rPr>
          <w:rFonts w:eastAsia="Times New Roman" w:cs="Arial" w:ascii="Arial" w:hAnsi="Arial"/>
        </w:rPr>
        <w:t>Zapotrzebowanie na kwalifikację</w:t>
      </w:r>
    </w:p>
    <w:p>
      <w:pPr>
        <w:pStyle w:val="Normal"/>
        <w:spacing w:before="120" w:after="120"/>
        <w:jc w:val="both"/>
        <w:rPr>
          <w:rFonts w:ascii="Arial" w:hAnsi="Arial" w:cs="Arial"/>
          <w:sz w:val="15"/>
          <w:szCs w:val="15"/>
        </w:rPr>
      </w:pPr>
      <w:r>
        <w:rPr>
          <w:rFonts w:cs="Arial" w:ascii="Arial" w:hAnsi="Arial"/>
          <w:sz w:val="15"/>
          <w:szCs w:val="15"/>
        </w:rPr>
        <w:t xml:space="preserve">Społeczeństwo polskie staje obecnie przed wyzwaniem, które związane jest ze zmianą struktury demograficznej. Pierwsza odnosi się do ilości urodzeń dzieci, a druga ma związek ze zwiększeniem się liczby osób starszych w populacji. Jak pokazują dane GUS-u, współczynnik dzietności w 2016 roku wyniósł 1,34, co oznacza, iż proces odtwarzania się populacji polskiej kształtuje się na poziomie poniżej zastępowalności pokoleń. Przeciętne trwanie życia mężczyzny wyniosło 73,9 lat, natomiast kobiety 81,9.[1,2] Oznacza to, iż okres życia Polaków wydłużył się średnio o 8 lat (mężczyźni) i 7 lat (kobiety) w ciągu ostatnich dwudziestu pięciu lat. Jak pokazują prognozy GUS </w:t>
        <w:br/>
        <w:t xml:space="preserve">w ciągu 37 lat nastąpi wzrost ilości obywateli powyżej 65 r. ż. z 19 do 23,7 %, aby osiągnąć w 2050 roku 32,7%.[3,4] W związku </w:t>
        <w:br/>
        <w:t xml:space="preserve">z tym istotnym jest, aby dostosować politykę państwa do wyzwań, które stawia nowy układ demograficzny społeczeństwa polskiego. </w:t>
        <w:br/>
        <w:t xml:space="preserve">Z badań przeprowadzonych przez Europejskie Badania Warunków Życia Ludności (EU-SILC) [5], dwie trzecie osób powyżej 60 r. ż. wskazało, iż posiadają jednostki chorobowe, które wymagają przynajmniej sześciomiesięcznego okresu leczenia (cukrzyca, choroby nowotworowe, udary itc.). Dlatego też bardzo ważnym elementem jest podnoszenie jakości życia osób starszych, aby jak najdłużej pozostawały aktywne i samodzielne. Dlatego też w projektowaniu polityki zdrowotnej nie tylko należy, ale warto uwzględnić rekomendacje WHO [6] oraz działania Komisji Europejskiej, które wskazały, iż wprowadzenie specjalistów działających w obszarze profilaktyki przynosi wymierne efekty w podnoszeniu jakości życia. [7] Jak pokazują prace ekspertów, polityka wobec osób starszych musi być szeroko zaprojektowana, uwzględniać interdyscyplinarność, a także uwrażliwiać pracowników ochrony zdrowia na potrzeby seniorów. Dlatego też wszystkie prowadzone działania w tym obszarze powinny oscylować wokół wywierania wpływu na poprawę jakości życia osób starszych i jak najdłuższe trwanie życia w zdrowiu (Healthy Life Years – HLY). [8] Natomiast kształtowanie wśród społeczeństwa odpowiedzialności za zdrowie, a także wspieranie zdrowego stylu życia wpłynie pozytywnie na poprawę stanu zdrowia mieszkańców Polski po osiągnięciu wieku senioralnego W celu uzyskania tego parametru istotną kwestią jest prowadzenie postępowań promujących zdrowie, wdrażających profilaktykę chorób, zwiększających dostępność do diagnostyki, leczenia, a także rehabilitacji. [9] Wymienione działania zostały umocowane na gruncie polskim w Ustawie z dnia 11 września 2015 roku o osobach starszych (Dz. U. z 2015 r. poz. 1705) Rodriguez </w:t>
        <w:br/>
        <w:t xml:space="preserve">i współ. wykazali, iż z wiekiem pogłębiają się zniekształcenia i wady anatomiczne, a także podwyższa się ilość zmian skórnych i paznokci stóp, które są przyczyną silnych dolegliwości bólowych u seniorów. Zaburzenia te dotyczą 71-87% starszych osób, które wymagają z tego powodu opieki medycznej i podologicznej. Rodriguez i współautorzy, zauważyli także, iż bardzo często sygnalizowana jest niska jakość życia przez seniorów z omawianym zakresie. Dlatego też w polu zgłaszanych problemów w obrębie stóp idealnym specjalistą byłby podolog. [10] Rola podologa w ocenie stanu stopy, a także części goleniowej kończyny dolnej, nieinwazyjnym usuwaniu takich zmian jak modzele, nagiotki itp., prowadzonej w tym zakresie profilaktyki problemów stóp, gdzie klient otrzymuje wsparcie w jaki sposób ma przeciwdziałać powstawaniu zmian jest niezastąpiona i powinna stanowić jeden z podstawowych, prewencyjnych elementów geriatrycznej opieki zdrowotnej, jak to funkcjonuje w innych krajach. Dane statystyczne pochodzące z Hiszpanii, z okresu 2013-2014 wykazały, </w:t>
        <w:br/>
        <w:t xml:space="preserve">iż z usług podologicznych korzystało ponad 30% osób w wieku 75-80 lat. W tym samym czasie, obsługa w zakresie patologii paznokci </w:t>
        <w:br/>
        <w:t xml:space="preserve">i usuwania odcisków, z jakiej korzystali seniorzy (65-80 lat), stanowiła ok. 32% czyli 1/3 wszystkich świadczeń i produktów zdrowotnych. [11-12] Głodowska K.B. wykazała, iż [13], głównymi odbiorcami usług podologicznych w Polsce są starsi pacjenci, którzy trafiają </w:t>
        <w:br/>
        <w:t xml:space="preserve">do podologa ze względu na fakt, iż w poradniach chirurgicznych, dermatologicznych itd. jest długi okres oczekiwania na wizytę. klient, który odczuwa ból w obrębie stopy i ma problem z funkcjonowaniem wybiera podologa jako tego specjalistę, który może przynieść mu ulgę i poprawić jego codzienne funkcjonowanie, tym samym zwiększyć jego samodzielność. Dzięki wykonaniu zabiegów podologicznych, a także prowadzonej edukacji podologicznej klient szybciej się usamodzielnia, ale także zmniejsza się koszt leczenia klienta, ponieważ </w:t>
        <w:br/>
        <w:t>w odpowiednim czasie została zastosowana prewencja. Systematycznie wykonywane profilaktyczne zabiegi podologiczne na stopach zmniejszają wydatki związane z leczeniem, czego dowodzi przykład niemiecki. W Nadrenii Północnej objęcie regularnymi zabiegami profilaktycznymi pacjentów chorych na cukrzycę i jej następstwa spowodowało redukcję interwencji chirurgicznych z 28 tys. w 2003 r.</w:t>
        <w:br/>
        <w:t xml:space="preserve"> na 5 tys. w 2012 r. [źródło: ZI der KV 2014; GEK 2003-12, AOK 2009-12, prof. Chantelau, Altenhofen, 2012]. Podolog jest specjalistą, który poprzez prowadzone działania jest w stanie pomóc w podniesieniu jakości życia seniorów. Jednak musi to być specjalista </w:t>
        <w:br/>
        <w:t xml:space="preserve">z potwierdzonymi umiejętnościami i wiedzą. W obecnych realiach klient nie ma możliwości wyboru bezpiecznego gabinetu, a tym samym wybrania odpowiednio wykwalifikowanego specjalisty w zakresie podologii, który prawidłowo poprowadzi proces podologiczny. Wynika </w:t>
        <w:br/>
        <w:t xml:space="preserve">to z faktu, iż brak jest formalnej edukacji w tym obszarze w Polsce rynku. Stworzenie kwalifikacji rynkowej dla polskiego podologa pozwoli na określenie zakresu wiedzy, a także umiejętności, koniecznych do prowadzenia odpowiedzialnej i bezpiecznej dla klienta, praktyki podologicznej w Polsce. Pozytywny wynik przeprowadzonej walidacji, uwierzytelniony odpowiednim dokumentem będzie gwarantem dla klienta, że uzyska profesjonalną pomoc, stosowną do jego potrzeb zdrowotnych. Natomiast wprowadzenie rejestru certyfikowanych specjalistów umożliwi klientowi wybranie specjalisty podologa, który pracuje wg określonych standardów i jest gwarantem bezpieczeństwa klienta. Obecnie trudno dowieść, że zawód podolog w Polsce jest deficytowy, ponieważ nie został on uwzględniony w analizach statystycznych. W celu zbadania tego zjawiska możemy odnieść się do prognoz Wielkiej Brytanii, która wykazała, iż ma nastąpić 20% wzrost ilości specjalistów na tamtejszym rynku pracy związanych z podologią. Kolejnym źródłem, do którego możemy się odnieść, są prognozy dotyczące starzenia się społeczeństwa.[14] Jest to grupa społeczna, która wymaga zapewnienia odpowiedniego wsparcia środowiskowego i instytucjonalnego. Według oficjalnego stanowiska PTP podolog powinien być członkiem interdyscyplinarnego zespołu nadzorowanego przez lekarza rodzinnego, który obejmuje całościową opieką osoby starsze. Polskie Towarzystwo Podologiczne szacuje, że obecnie na polskim rynku jest 1,5-2 tys. specjalistów ds. podologii, którzy wykonują usługi podologiczne, z czego ok. 300 specjalistów wykonuje je w pełnym zakresie opisywanej kwalifikacji rynkowej. Porównując statystyki innych krajów można założyć, że w Polsce </w:t>
        <w:br/>
        <w:t xml:space="preserve">są to nadal usługi niszowe, niespełniające zapotrzebowania społecznego. Dlatego też polski podolog powinien posiadać szeroką wiedzę merytoryczną, umiejętności praktyczne, predyspozycje do pracy w zespole interdyscyplinarnym, znać granice swych kompetencji, właściwie rozpoznawać problem klienta i w razie potrzeby kierować go do właściwego specjalisty. Jest obowiązany do postrzegania człowieka w sposób holistyczny, promowania i nauczania właściwych zachowań prozdrowotnych (posiadania predyspozycji mentorskich i dydaktycznych) oraz umiejętności wzbudzania zaufania. Powyższe dane pokazują, że wprowadzenie kwalifikacji rynkowej dotyczącej podologa w Polsce może spowodować podniesienie nie tylko jakości i bezpieczeństwa w opiece nad klientem, podniesienie jakości życia seniorów, a także odciążenie innych specjalistów, do których trafia klient geriatryczny ze swoim problemem (lekarz ortopeda, chirurg, pielęgniarka). </w:t>
      </w:r>
    </w:p>
    <w:p>
      <w:pPr>
        <w:pStyle w:val="Nagwek4"/>
        <w:rPr>
          <w:rFonts w:ascii="Arial" w:hAnsi="Arial" w:eastAsia="Times New Roman" w:cs="Arial"/>
          <w:b w:val="false"/>
          <w:b w:val="false"/>
          <w:sz w:val="15"/>
          <w:szCs w:val="15"/>
        </w:rPr>
      </w:pPr>
      <w:r>
        <w:rPr>
          <w:rFonts w:cs="Arial" w:ascii="Arial" w:hAnsi="Arial"/>
          <w:b w:val="false"/>
          <w:sz w:val="15"/>
          <w:szCs w:val="15"/>
        </w:rPr>
        <w:t>- Załącznik - Bibliografia do Zapotrzebowania na kwalifikacje znajduje się w pozostałych dokumentach.</w:t>
      </w:r>
    </w:p>
    <w:p>
      <w:pPr>
        <w:pStyle w:val="Nagwek4"/>
        <w:jc w:val="both"/>
        <w:rPr>
          <w:rFonts w:ascii="Arial" w:hAnsi="Arial" w:eastAsia="Times New Roman" w:cs="Arial"/>
        </w:rPr>
      </w:pPr>
      <w:r>
        <w:rPr>
          <w:rFonts w:eastAsia="Times New Roman" w:cs="Arial" w:ascii="Arial" w:hAnsi="Arial"/>
        </w:rPr>
        <w:t>Odniesienie do kwalifikacji o zbliżonym charakterze oraz wskazanie kwalifikacji ujętych w ZRK zawierających wspólne zestawy efektów uczenia się</w:t>
      </w:r>
    </w:p>
    <w:p>
      <w:pPr>
        <w:pStyle w:val="Normal"/>
        <w:spacing w:before="120" w:after="120"/>
        <w:jc w:val="both"/>
        <w:rPr>
          <w:rFonts w:ascii="Arial" w:hAnsi="Arial" w:cs="Arial"/>
          <w:sz w:val="15"/>
          <w:szCs w:val="15"/>
        </w:rPr>
      </w:pPr>
      <w:r>
        <w:rPr>
          <w:rFonts w:cs="Arial" w:ascii="Arial" w:hAnsi="Arial"/>
          <w:sz w:val="15"/>
          <w:szCs w:val="15"/>
        </w:rPr>
        <w:t>Kwalifikacja „Wykonywanie zadań w zakresie profilaktyki i terapii zmian patologicznych w obrębie stóp w ramach praktyki podologicznej” jest zbieżna w niewielkim stopniu z następującymi kwalifikacjami o zbliżonym charakterze:</w:t>
      </w:r>
    </w:p>
    <w:p>
      <w:pPr>
        <w:pStyle w:val="Normal"/>
        <w:numPr>
          <w:ilvl w:val="0"/>
          <w:numId w:val="3"/>
        </w:numPr>
        <w:spacing w:lineRule="auto" w:line="276" w:before="120" w:after="120"/>
        <w:ind w:left="469" w:hanging="360"/>
        <w:jc w:val="both"/>
        <w:rPr>
          <w:rFonts w:ascii="Arial" w:hAnsi="Arial" w:cs="Arial"/>
          <w:sz w:val="15"/>
          <w:szCs w:val="15"/>
        </w:rPr>
      </w:pPr>
      <w:r>
        <w:rPr>
          <w:rFonts w:cs="Arial" w:ascii="Arial" w:hAnsi="Arial"/>
          <w:sz w:val="15"/>
          <w:szCs w:val="15"/>
        </w:rPr>
        <w:t>Technik usług kosmetycznych (514207) (kwalifikacja pełna) w tym kwalifikacja Wykonywanie zabiegów kosmetycznych ciała, dłoni i stóp (A.62.) (kwalifikacja cząstkowa),</w:t>
      </w:r>
    </w:p>
    <w:p>
      <w:pPr>
        <w:pStyle w:val="Normal"/>
        <w:numPr>
          <w:ilvl w:val="0"/>
          <w:numId w:val="3"/>
        </w:numPr>
        <w:spacing w:lineRule="auto" w:line="276" w:before="120" w:after="120"/>
        <w:ind w:left="469" w:hanging="360"/>
        <w:jc w:val="both"/>
        <w:rPr>
          <w:rFonts w:ascii="Arial" w:hAnsi="Arial" w:cs="Arial"/>
          <w:sz w:val="15"/>
          <w:szCs w:val="15"/>
        </w:rPr>
      </w:pPr>
      <w:r>
        <w:rPr>
          <w:rFonts w:cs="Arial" w:ascii="Arial" w:hAnsi="Arial"/>
          <w:sz w:val="15"/>
          <w:szCs w:val="15"/>
        </w:rPr>
        <w:t>Dyplom ukończenia studiów I stopnia na kierunku kosmetologia (kwalifikacja pełna),</w:t>
      </w:r>
    </w:p>
    <w:p>
      <w:pPr>
        <w:pStyle w:val="Normal"/>
        <w:numPr>
          <w:ilvl w:val="0"/>
          <w:numId w:val="3"/>
        </w:numPr>
        <w:spacing w:lineRule="auto" w:line="276" w:before="120" w:after="120"/>
        <w:ind w:left="469" w:hanging="360"/>
        <w:jc w:val="both"/>
        <w:rPr>
          <w:rFonts w:ascii="Arial" w:hAnsi="Arial" w:cs="Arial"/>
          <w:sz w:val="15"/>
          <w:szCs w:val="15"/>
        </w:rPr>
      </w:pPr>
      <w:r>
        <w:rPr>
          <w:rFonts w:cs="Arial" w:ascii="Arial" w:hAnsi="Arial"/>
          <w:sz w:val="15"/>
          <w:szCs w:val="15"/>
        </w:rPr>
        <w:t>Świadczenie usług w zakresie masażu (Z.1.) (kwalifikacja cząstkowa),</w:t>
      </w:r>
    </w:p>
    <w:p>
      <w:pPr>
        <w:pStyle w:val="Normal"/>
        <w:numPr>
          <w:ilvl w:val="0"/>
          <w:numId w:val="3"/>
        </w:numPr>
        <w:spacing w:lineRule="auto" w:line="276" w:before="120" w:after="120"/>
        <w:ind w:left="469" w:hanging="360"/>
        <w:jc w:val="both"/>
        <w:rPr>
          <w:rFonts w:ascii="Arial" w:hAnsi="Arial" w:cs="Arial"/>
          <w:sz w:val="15"/>
          <w:szCs w:val="15"/>
        </w:rPr>
      </w:pPr>
      <w:r>
        <w:rPr>
          <w:rFonts w:cs="Arial" w:ascii="Arial" w:hAnsi="Arial"/>
          <w:sz w:val="15"/>
          <w:szCs w:val="15"/>
        </w:rPr>
        <w:t>Technik masażysta (325402) (kwalifikacja pełna),</w:t>
      </w:r>
    </w:p>
    <w:p>
      <w:pPr>
        <w:pStyle w:val="Normal"/>
        <w:numPr>
          <w:ilvl w:val="0"/>
          <w:numId w:val="3"/>
        </w:numPr>
        <w:spacing w:lineRule="auto" w:line="276" w:before="120" w:after="120"/>
        <w:ind w:left="469" w:hanging="360"/>
        <w:jc w:val="both"/>
        <w:rPr>
          <w:rFonts w:ascii="Arial" w:hAnsi="Arial" w:cs="Arial"/>
          <w:sz w:val="15"/>
          <w:szCs w:val="15"/>
        </w:rPr>
      </w:pPr>
      <w:r>
        <w:rPr>
          <w:rFonts w:cs="Arial" w:ascii="Arial" w:hAnsi="Arial"/>
          <w:sz w:val="15"/>
          <w:szCs w:val="15"/>
        </w:rPr>
        <w:t xml:space="preserve">Technik sterylizacji medycznej (321104) (kwalifikacja pełna), </w:t>
      </w:r>
    </w:p>
    <w:p>
      <w:pPr>
        <w:pStyle w:val="Normal"/>
        <w:numPr>
          <w:ilvl w:val="0"/>
          <w:numId w:val="3"/>
        </w:numPr>
        <w:spacing w:lineRule="auto" w:line="276" w:before="120" w:after="120"/>
        <w:ind w:left="469" w:hanging="360"/>
        <w:jc w:val="both"/>
        <w:rPr>
          <w:rFonts w:ascii="Arial" w:hAnsi="Arial" w:cs="Arial"/>
          <w:sz w:val="15"/>
          <w:szCs w:val="15"/>
        </w:rPr>
      </w:pPr>
      <w:r>
        <w:rPr>
          <w:rFonts w:cs="Arial" w:ascii="Arial" w:hAnsi="Arial"/>
          <w:sz w:val="15"/>
          <w:szCs w:val="15"/>
        </w:rPr>
        <w:t>Wykonywanie dezynfekcji i sterylizacji medycznej (Z.20.) (kwalifikacja cząstkowa),</w:t>
      </w:r>
    </w:p>
    <w:p>
      <w:pPr>
        <w:pStyle w:val="Normal"/>
        <w:numPr>
          <w:ilvl w:val="0"/>
          <w:numId w:val="3"/>
        </w:numPr>
        <w:spacing w:lineRule="auto" w:line="276" w:before="120" w:after="120"/>
        <w:ind w:left="469" w:hanging="360"/>
        <w:jc w:val="both"/>
        <w:rPr>
          <w:rFonts w:ascii="Arial" w:hAnsi="Arial" w:cs="Arial"/>
          <w:sz w:val="15"/>
          <w:szCs w:val="15"/>
        </w:rPr>
      </w:pPr>
      <w:r>
        <w:rPr>
          <w:rFonts w:cs="Arial" w:ascii="Arial" w:hAnsi="Arial"/>
          <w:sz w:val="15"/>
          <w:szCs w:val="15"/>
        </w:rPr>
        <w:t>Technik ortopeda (321403) (kwalifikacja pełna),</w:t>
      </w:r>
    </w:p>
    <w:p>
      <w:pPr>
        <w:pStyle w:val="Normal"/>
        <w:numPr>
          <w:ilvl w:val="0"/>
          <w:numId w:val="3"/>
        </w:numPr>
        <w:spacing w:lineRule="auto" w:line="276" w:before="120" w:after="120"/>
        <w:ind w:left="469" w:hanging="360"/>
        <w:jc w:val="both"/>
        <w:rPr>
          <w:rFonts w:ascii="Arial" w:hAnsi="Arial" w:cs="Arial"/>
          <w:sz w:val="15"/>
          <w:szCs w:val="15"/>
        </w:rPr>
      </w:pPr>
      <w:r>
        <w:rPr>
          <w:rFonts w:cs="Arial" w:ascii="Arial" w:hAnsi="Arial"/>
          <w:sz w:val="15"/>
          <w:szCs w:val="15"/>
        </w:rPr>
        <w:t>Wykonywanie i dobieranie przedmiotów ortopedycznych oraz środków pomocniczych (Z.2.) (kwalifikacja cząstkowa).</w:t>
      </w:r>
    </w:p>
    <w:p>
      <w:pPr>
        <w:pStyle w:val="Normal"/>
        <w:spacing w:before="120" w:after="120"/>
        <w:jc w:val="both"/>
        <w:rPr>
          <w:rFonts w:ascii="Arial" w:hAnsi="Arial" w:cs="Arial"/>
          <w:sz w:val="15"/>
          <w:szCs w:val="15"/>
        </w:rPr>
      </w:pPr>
      <w:r>
        <w:rPr>
          <w:rFonts w:cs="Arial" w:ascii="Arial" w:hAnsi="Arial"/>
          <w:sz w:val="15"/>
          <w:szCs w:val="15"/>
        </w:rPr>
        <w:t xml:space="preserve">Żadna z wymienionych kwalifikacji ujętych w ZRK nie zawiera wspólnych zestawów efektów uczenia się z kwalifikacją, której wniosek dotyczy. Kwalifikacje te pokrywają się jedynie w zakresie pielęgnacji stóp, podstawowych zabiegów pedicure, masaży w obrębie stóp, dezynfekcji i sterylizacji narzędzi podologicznych czy doboru wkładek i ortoz. Edukacja w zawodzie podologa odbywa się w Polsce </w:t>
        <w:br/>
        <w:t xml:space="preserve">na poziomie studiów podyplomowych lub innych trybów kształcenia ( kursy) jednakże na dzień składania wniosku o uznanie kwalifikacji </w:t>
        <w:br/>
        <w:t>w ZRK nie znaleziono takiej kwalifikacji. Dodatkowo na dzień złożenia wniosku nie zostały opracowane standardy kształcenia w zawodzie podologa co skutkuje zupełną dowolnością przekazywanych treści przez różne podmioty edukacyjne. Kwalifikacja, o którą się wnioskuje pozwoli na unifikację kompetencji uzyskanych przez podologów zarówno w procesie kształcenia formalnego jak również pozaformalnego.</w:t>
      </w:r>
    </w:p>
    <w:p>
      <w:pPr>
        <w:pStyle w:val="Nagwek4"/>
        <w:rPr>
          <w:rFonts w:ascii="Arial" w:hAnsi="Arial" w:eastAsia="Times New Roman" w:cs="Arial"/>
        </w:rPr>
      </w:pPr>
      <w:r>
        <w:rPr>
          <w:rFonts w:eastAsia="Times New Roman" w:cs="Arial" w:ascii="Arial" w:hAnsi="Arial"/>
        </w:rPr>
        <w:t>Typowe możliwości wykorzystania kwalifikacji</w:t>
      </w:r>
    </w:p>
    <w:p>
      <w:pPr>
        <w:pStyle w:val="NormalWeb"/>
        <w:jc w:val="both"/>
        <w:rPr>
          <w:rFonts w:ascii="Arial" w:hAnsi="Arial" w:cs="Arial"/>
          <w:sz w:val="15"/>
          <w:szCs w:val="15"/>
        </w:rPr>
      </w:pPr>
      <w:r>
        <w:rPr>
          <w:rFonts w:cs="Arial" w:ascii="Arial" w:hAnsi="Arial"/>
          <w:sz w:val="15"/>
          <w:szCs w:val="15"/>
        </w:rPr>
        <w:t xml:space="preserve">Osoba posiadająca kwalifikację “Wykonywanie zadań w zakresie profilaktyki i terapii zmian patologicznych w obrębie stóp w ramach praktyki podologicznej” może znaleźć zatrudnienie w gabinetach podologicznych, w pracowniach ortopedycznych, w ośrodkach rehabilitacji, w hurtowniach sprzętu medycznego, niepublicznych zakładach opieki zdrowotnej: w szpitalach, w poradniach specjalistycznych tj. chirurgiczna, diabetologiczna, leczenia ran, pediatryczna, geriatryczna, chorób układu naczyniowego oraz w domach spokojnej starości, domach pomocy społecznej, domach seniora, w szkolnictwie. Po uzyskaniu dodatkowych kwalifikacji (wskazanych przepisami prawa) osoba posiadająca ww. kwalifikacje może pełnić rolę nauczyciela/edukatora w obszarze podologii. Osoba posiadająca kwalifikację może prowadzić również własną praktykę podologiczną. </w:t>
      </w:r>
    </w:p>
    <w:p>
      <w:pPr>
        <w:pStyle w:val="Nagwek4"/>
        <w:rPr>
          <w:rFonts w:ascii="Arial" w:hAnsi="Arial" w:eastAsia="Times New Roman" w:cs="Arial"/>
        </w:rPr>
      </w:pPr>
      <w:r>
        <w:rPr>
          <w:rFonts w:eastAsia="Times New Roman" w:cs="Arial" w:ascii="Arial" w:hAnsi="Arial"/>
        </w:rPr>
        <w:t>Wymagania dotyczące walidacji i podmiotów przeprowadzających walidację</w:t>
      </w:r>
    </w:p>
    <w:p>
      <w:pPr>
        <w:pStyle w:val="Normal"/>
        <w:numPr>
          <w:ilvl w:val="0"/>
          <w:numId w:val="4"/>
        </w:numPr>
        <w:spacing w:lineRule="auto" w:line="276" w:before="0" w:after="120"/>
        <w:ind w:left="327" w:hanging="360"/>
        <w:contextualSpacing/>
        <w:jc w:val="both"/>
        <w:rPr>
          <w:rFonts w:ascii="Arial" w:hAnsi="Arial" w:cs="Arial"/>
          <w:sz w:val="15"/>
          <w:szCs w:val="15"/>
        </w:rPr>
      </w:pPr>
      <w:r>
        <w:rPr>
          <w:rFonts w:cs="Arial" w:ascii="Arial" w:hAnsi="Arial"/>
          <w:sz w:val="15"/>
          <w:szCs w:val="15"/>
          <w:u w:val="single"/>
        </w:rPr>
        <w:t>Etap weryfikacji</w:t>
      </w:r>
      <w:r>
        <w:rPr>
          <w:rFonts w:cs="Arial" w:ascii="Arial" w:hAnsi="Arial"/>
          <w:sz w:val="15"/>
          <w:szCs w:val="15"/>
        </w:rPr>
        <w:t xml:space="preserve"> </w:t>
      </w:r>
    </w:p>
    <w:p>
      <w:pPr>
        <w:pStyle w:val="Normal"/>
        <w:spacing w:before="0" w:after="120"/>
        <w:contextualSpacing/>
        <w:jc w:val="both"/>
        <w:rPr>
          <w:rFonts w:ascii="Arial" w:hAnsi="Arial" w:cs="Arial"/>
          <w:sz w:val="15"/>
          <w:szCs w:val="15"/>
        </w:rPr>
      </w:pPr>
      <w:r>
        <w:rPr>
          <w:rFonts w:cs="Arial" w:ascii="Arial" w:hAnsi="Arial"/>
          <w:sz w:val="15"/>
          <w:szCs w:val="15"/>
        </w:rPr>
        <w:t xml:space="preserve">Weryfikacja efektów uczenia się obejmuje dwie części: teoretyczną i praktyczną. </w:t>
      </w:r>
    </w:p>
    <w:p>
      <w:pPr>
        <w:pStyle w:val="Normal"/>
        <w:numPr>
          <w:ilvl w:val="1"/>
          <w:numId w:val="5"/>
        </w:numPr>
        <w:spacing w:lineRule="auto" w:line="276" w:before="0" w:after="120"/>
        <w:contextualSpacing/>
        <w:jc w:val="both"/>
        <w:rPr>
          <w:rFonts w:ascii="Arial" w:hAnsi="Arial" w:cs="Arial"/>
          <w:sz w:val="15"/>
          <w:szCs w:val="15"/>
          <w:u w:val="single"/>
        </w:rPr>
      </w:pPr>
      <w:r>
        <w:rPr>
          <w:rFonts w:cs="Arial" w:ascii="Arial" w:hAnsi="Arial"/>
          <w:sz w:val="15"/>
          <w:szCs w:val="15"/>
          <w:u w:val="single"/>
        </w:rPr>
        <w:t xml:space="preserve">Metody </w:t>
      </w:r>
    </w:p>
    <w:p>
      <w:pPr>
        <w:pStyle w:val="Normal"/>
        <w:spacing w:before="0" w:after="120"/>
        <w:contextualSpacing/>
        <w:jc w:val="both"/>
        <w:rPr>
          <w:rFonts w:ascii="Arial" w:hAnsi="Arial" w:cs="Arial"/>
          <w:sz w:val="15"/>
          <w:szCs w:val="15"/>
        </w:rPr>
      </w:pPr>
      <w:r>
        <w:rPr>
          <w:rFonts w:cs="Arial" w:ascii="Arial" w:hAnsi="Arial"/>
          <w:sz w:val="15"/>
          <w:szCs w:val="15"/>
        </w:rPr>
        <w:t>W weryfikacji efektów uczenia się dopuszcza się wyłącznie następujące metody:</w:t>
      </w:r>
    </w:p>
    <w:p>
      <w:pPr>
        <w:pStyle w:val="Normal"/>
        <w:numPr>
          <w:ilvl w:val="0"/>
          <w:numId w:val="6"/>
        </w:numPr>
        <w:spacing w:lineRule="auto" w:line="276" w:before="0" w:after="120"/>
        <w:ind w:left="327" w:hanging="360"/>
        <w:contextualSpacing/>
        <w:jc w:val="both"/>
        <w:rPr>
          <w:rFonts w:ascii="Arial" w:hAnsi="Arial" w:cs="Arial"/>
          <w:sz w:val="15"/>
          <w:szCs w:val="15"/>
        </w:rPr>
      </w:pPr>
      <w:r>
        <w:rPr>
          <w:rFonts w:cs="Arial" w:ascii="Arial" w:hAnsi="Arial"/>
          <w:sz w:val="15"/>
          <w:szCs w:val="15"/>
        </w:rPr>
        <w:t>test teoretyczny,</w:t>
      </w:r>
    </w:p>
    <w:p>
      <w:pPr>
        <w:pStyle w:val="Normal"/>
        <w:numPr>
          <w:ilvl w:val="0"/>
          <w:numId w:val="6"/>
        </w:numPr>
        <w:spacing w:lineRule="auto" w:line="276" w:before="0" w:after="120"/>
        <w:ind w:left="327" w:hanging="360"/>
        <w:contextualSpacing/>
        <w:jc w:val="both"/>
        <w:rPr>
          <w:rFonts w:ascii="Arial" w:hAnsi="Arial" w:cs="Arial"/>
          <w:sz w:val="15"/>
          <w:szCs w:val="15"/>
        </w:rPr>
      </w:pPr>
      <w:r>
        <w:rPr>
          <w:rFonts w:cs="Arial" w:ascii="Arial" w:hAnsi="Arial"/>
          <w:sz w:val="15"/>
          <w:szCs w:val="15"/>
        </w:rPr>
        <w:t>obserwacja w warunkach symulowanych lub obserwacja w warunkach rzeczywistych,</w:t>
      </w:r>
    </w:p>
    <w:p>
      <w:pPr>
        <w:pStyle w:val="Normal"/>
        <w:numPr>
          <w:ilvl w:val="0"/>
          <w:numId w:val="6"/>
        </w:numPr>
        <w:spacing w:lineRule="auto" w:line="276" w:before="0" w:after="120"/>
        <w:ind w:left="327" w:hanging="360"/>
        <w:contextualSpacing/>
        <w:jc w:val="both"/>
        <w:rPr>
          <w:rFonts w:ascii="Arial" w:hAnsi="Arial" w:cs="Arial"/>
          <w:sz w:val="15"/>
          <w:szCs w:val="15"/>
        </w:rPr>
      </w:pPr>
      <w:r>
        <w:rPr>
          <w:rFonts w:cs="Arial" w:ascii="Arial" w:hAnsi="Arial"/>
          <w:sz w:val="15"/>
          <w:szCs w:val="15"/>
        </w:rPr>
        <w:t>rozmowa z komisją (ma charakter uzupełniający do obserwacji),</w:t>
      </w:r>
    </w:p>
    <w:p>
      <w:pPr>
        <w:pStyle w:val="Normal"/>
        <w:numPr>
          <w:ilvl w:val="0"/>
          <w:numId w:val="6"/>
        </w:numPr>
        <w:spacing w:lineRule="auto" w:line="276" w:before="0" w:after="120"/>
        <w:ind w:left="327" w:hanging="360"/>
        <w:contextualSpacing/>
        <w:jc w:val="both"/>
        <w:rPr>
          <w:rFonts w:ascii="Arial" w:hAnsi="Arial" w:cs="Arial"/>
          <w:sz w:val="15"/>
          <w:szCs w:val="15"/>
        </w:rPr>
      </w:pPr>
      <w:r>
        <w:rPr>
          <w:rFonts w:cs="Arial" w:ascii="Arial" w:hAnsi="Arial"/>
          <w:sz w:val="15"/>
          <w:szCs w:val="15"/>
        </w:rPr>
        <w:t xml:space="preserve">analiza dowodów i deklaracji. </w:t>
      </w:r>
    </w:p>
    <w:p>
      <w:pPr>
        <w:pStyle w:val="Normal"/>
        <w:spacing w:before="0" w:after="120"/>
        <w:contextualSpacing/>
        <w:jc w:val="both"/>
        <w:rPr>
          <w:rFonts w:ascii="Arial" w:hAnsi="Arial" w:cs="Arial"/>
          <w:sz w:val="15"/>
          <w:szCs w:val="15"/>
        </w:rPr>
      </w:pPr>
      <w:r>
        <w:rPr>
          <w:rFonts w:cs="Arial" w:ascii="Arial" w:hAnsi="Arial"/>
          <w:sz w:val="15"/>
          <w:szCs w:val="15"/>
        </w:rPr>
        <w:t xml:space="preserve">W części teoretycznej stosuje się test teoretyczny. Testem teoretycznym sprawdzane są: 01, 02 i 03 zestawy efektów uczenia się. </w:t>
      </w:r>
    </w:p>
    <w:p>
      <w:pPr>
        <w:pStyle w:val="Normal"/>
        <w:spacing w:before="0" w:after="120"/>
        <w:contextualSpacing/>
        <w:jc w:val="both"/>
        <w:rPr>
          <w:rFonts w:ascii="Arial" w:hAnsi="Arial" w:cs="Arial"/>
          <w:sz w:val="15"/>
          <w:szCs w:val="15"/>
        </w:rPr>
      </w:pPr>
      <w:r>
        <w:rPr>
          <w:rFonts w:cs="Arial" w:ascii="Arial" w:hAnsi="Arial"/>
          <w:sz w:val="15"/>
          <w:szCs w:val="15"/>
        </w:rPr>
        <w:t xml:space="preserve">W części praktycznej wykorzystuje się metodę obserwacji w warunkach symulowanych lub rzeczywistych, uzupełnioną rozmową </w:t>
        <w:br/>
        <w:t xml:space="preserve">z komisją. W części praktycznej sprawdzane są: 04, 05 i 06 zestawy efektów uczenia się. </w:t>
      </w:r>
    </w:p>
    <w:p>
      <w:pPr>
        <w:pStyle w:val="Normal"/>
        <w:spacing w:before="0" w:after="120"/>
        <w:contextualSpacing/>
        <w:jc w:val="both"/>
        <w:rPr>
          <w:rFonts w:ascii="Arial" w:hAnsi="Arial" w:cs="Arial"/>
          <w:sz w:val="15"/>
          <w:szCs w:val="15"/>
        </w:rPr>
      </w:pPr>
      <w:r>
        <w:rPr>
          <w:rFonts w:cs="Arial" w:ascii="Arial" w:hAnsi="Arial"/>
          <w:sz w:val="15"/>
          <w:szCs w:val="15"/>
        </w:rPr>
      </w:r>
    </w:p>
    <w:p>
      <w:pPr>
        <w:pStyle w:val="Normal"/>
        <w:numPr>
          <w:ilvl w:val="1"/>
          <w:numId w:val="5"/>
        </w:numPr>
        <w:spacing w:lineRule="auto" w:line="276" w:before="0" w:after="120"/>
        <w:contextualSpacing/>
        <w:jc w:val="both"/>
        <w:rPr>
          <w:rFonts w:ascii="Arial" w:hAnsi="Arial" w:cs="Arial"/>
          <w:sz w:val="15"/>
          <w:szCs w:val="15"/>
          <w:u w:val="single"/>
        </w:rPr>
      </w:pPr>
      <w:r>
        <w:rPr>
          <w:rFonts w:cs="Arial" w:ascii="Arial" w:hAnsi="Arial"/>
          <w:sz w:val="15"/>
          <w:szCs w:val="15"/>
          <w:u w:val="single"/>
        </w:rPr>
        <w:t xml:space="preserve">Zasoby kadrowe </w:t>
      </w:r>
    </w:p>
    <w:p>
      <w:pPr>
        <w:pStyle w:val="Normal"/>
        <w:spacing w:before="0" w:after="120"/>
        <w:contextualSpacing/>
        <w:jc w:val="both"/>
        <w:rPr>
          <w:rFonts w:ascii="Arial" w:hAnsi="Arial" w:cs="Arial"/>
          <w:sz w:val="15"/>
          <w:szCs w:val="15"/>
        </w:rPr>
      </w:pPr>
      <w:r>
        <w:rPr>
          <w:rFonts w:cs="Arial" w:ascii="Arial" w:hAnsi="Arial"/>
          <w:sz w:val="15"/>
          <w:szCs w:val="15"/>
        </w:rPr>
        <w:t xml:space="preserve">Walidację projektuje zespół składający się z min. 5 osób. Każdy z członków komisji posiada wykształcenie wyższe na poziomie </w:t>
        <w:br/>
        <w:t xml:space="preserve">min. 6 PRK i spełnia przynajmniej jeden z poniższych warunków. Komisja posiada łącznie wszystkie wymienione warunki: </w:t>
      </w:r>
    </w:p>
    <w:p>
      <w:pPr>
        <w:pStyle w:val="Normal"/>
        <w:numPr>
          <w:ilvl w:val="0"/>
          <w:numId w:val="7"/>
        </w:numPr>
        <w:spacing w:lineRule="auto" w:line="276" w:before="0" w:after="120"/>
        <w:ind w:left="469" w:hanging="360"/>
        <w:contextualSpacing/>
        <w:jc w:val="both"/>
        <w:rPr>
          <w:rFonts w:ascii="Arial" w:hAnsi="Arial" w:cs="Arial"/>
          <w:sz w:val="15"/>
          <w:szCs w:val="15"/>
        </w:rPr>
      </w:pPr>
      <w:r>
        <w:rPr>
          <w:rFonts w:cs="Arial" w:ascii="Arial" w:hAnsi="Arial"/>
          <w:sz w:val="15"/>
          <w:szCs w:val="15"/>
        </w:rPr>
        <w:t>uprawnienia pedagogiczne,</w:t>
      </w:r>
    </w:p>
    <w:p>
      <w:pPr>
        <w:pStyle w:val="Normal"/>
        <w:numPr>
          <w:ilvl w:val="0"/>
          <w:numId w:val="7"/>
        </w:numPr>
        <w:spacing w:lineRule="auto" w:line="276" w:before="0" w:after="120"/>
        <w:ind w:left="469" w:hanging="360"/>
        <w:contextualSpacing/>
        <w:jc w:val="both"/>
        <w:rPr>
          <w:rFonts w:ascii="Arial" w:hAnsi="Arial" w:cs="Arial"/>
          <w:sz w:val="15"/>
          <w:szCs w:val="15"/>
        </w:rPr>
      </w:pPr>
      <w:r>
        <w:rPr>
          <w:rFonts w:cs="Arial" w:ascii="Arial" w:hAnsi="Arial"/>
          <w:sz w:val="15"/>
          <w:szCs w:val="15"/>
        </w:rPr>
        <w:t>min. 3-letnie doświadczenie w tworzeniu narzędzi walidacyjnych lub egzaminacyjnych dla kwalifikacji o zbliżonym charakterze,</w:t>
      </w:r>
    </w:p>
    <w:p>
      <w:pPr>
        <w:pStyle w:val="Normal"/>
        <w:numPr>
          <w:ilvl w:val="0"/>
          <w:numId w:val="7"/>
        </w:numPr>
        <w:spacing w:lineRule="auto" w:line="276" w:before="0" w:after="120"/>
        <w:ind w:left="469" w:hanging="360"/>
        <w:contextualSpacing/>
        <w:jc w:val="both"/>
        <w:rPr>
          <w:rFonts w:ascii="Arial" w:hAnsi="Arial" w:cs="Arial"/>
          <w:sz w:val="15"/>
          <w:szCs w:val="15"/>
        </w:rPr>
      </w:pPr>
      <w:r>
        <w:rPr>
          <w:rFonts w:cs="Arial" w:ascii="Arial" w:hAnsi="Arial"/>
          <w:sz w:val="15"/>
          <w:szCs w:val="15"/>
        </w:rPr>
        <w:t>co najmniej 3 – letnie doświadczenie w wykonywaniu zabiegów podologicznych,</w:t>
      </w:r>
    </w:p>
    <w:p>
      <w:pPr>
        <w:pStyle w:val="Normal"/>
        <w:numPr>
          <w:ilvl w:val="0"/>
          <w:numId w:val="7"/>
        </w:numPr>
        <w:spacing w:lineRule="auto" w:line="276" w:before="0" w:after="120"/>
        <w:ind w:left="469" w:hanging="360"/>
        <w:contextualSpacing/>
        <w:jc w:val="both"/>
        <w:rPr>
          <w:rFonts w:ascii="Arial" w:hAnsi="Arial" w:cs="Arial"/>
          <w:sz w:val="15"/>
          <w:szCs w:val="15"/>
        </w:rPr>
      </w:pPr>
      <w:r>
        <w:rPr>
          <w:rFonts w:cs="Arial" w:ascii="Arial" w:hAnsi="Arial"/>
          <w:sz w:val="15"/>
          <w:szCs w:val="15"/>
        </w:rPr>
        <w:t xml:space="preserve">min. 5 - letnie doświadczenie w zakresie nauczania przedmiotów związanych z zestawami uczenia się nr 1-3 kwalifikacji. </w:t>
      </w:r>
    </w:p>
    <w:p>
      <w:pPr>
        <w:pStyle w:val="Normal"/>
        <w:spacing w:before="0" w:after="120"/>
        <w:contextualSpacing/>
        <w:jc w:val="both"/>
        <w:rPr>
          <w:rFonts w:ascii="Arial" w:hAnsi="Arial" w:cs="Arial"/>
          <w:sz w:val="15"/>
          <w:szCs w:val="15"/>
        </w:rPr>
      </w:pPr>
      <w:r>
        <w:rPr>
          <w:rFonts w:cs="Arial" w:ascii="Arial" w:hAnsi="Arial"/>
          <w:sz w:val="15"/>
          <w:szCs w:val="15"/>
        </w:rPr>
        <w:t xml:space="preserve">Walidację przeprowadza komisja składająca się z min. 3 osób. </w:t>
      </w:r>
    </w:p>
    <w:p>
      <w:pPr>
        <w:pStyle w:val="Normal"/>
        <w:spacing w:before="0" w:after="120"/>
        <w:contextualSpacing/>
        <w:jc w:val="both"/>
        <w:rPr>
          <w:rFonts w:ascii="Arial" w:hAnsi="Arial" w:cs="Arial"/>
          <w:sz w:val="15"/>
          <w:szCs w:val="15"/>
        </w:rPr>
      </w:pPr>
      <w:r>
        <w:rPr>
          <w:rFonts w:cs="Arial" w:ascii="Arial" w:hAnsi="Arial"/>
          <w:sz w:val="15"/>
          <w:szCs w:val="15"/>
        </w:rPr>
        <w:t xml:space="preserve">Członkowie komisji spośród siebie wybierają przewodniczącego komisji. Każdy z członków komisji posiada wykształcenie wyższe min. </w:t>
        <w:br/>
        <w:t>6 PRK. Dwóch członków komisji posiada co najmniej 5 – letnie doświadczenie w wykonywaniu zabiegów z obszaru profilaktyki i terapii zmian patologicznych w obrębie stóp, a trzeci członek komisji posiada dyplom ukończenia szkoły wyższej na kierunku: lekarski, pielęgniarstwo, fizjoterapia, kosmetologia, zdrowie publiczne lub udokumentowane doświadczenie dydaktyczne (min. 3 lata) z obszaru objętego kwalifikacją.</w:t>
      </w:r>
    </w:p>
    <w:p>
      <w:pPr>
        <w:pStyle w:val="Normal"/>
        <w:spacing w:before="0" w:after="120"/>
        <w:contextualSpacing/>
        <w:jc w:val="both"/>
        <w:rPr>
          <w:rFonts w:ascii="Arial" w:hAnsi="Arial" w:cs="Arial"/>
          <w:sz w:val="15"/>
          <w:szCs w:val="15"/>
        </w:rPr>
      </w:pPr>
      <w:r>
        <w:rPr>
          <w:rFonts w:cs="Arial" w:ascii="Arial" w:hAnsi="Arial"/>
          <w:sz w:val="15"/>
          <w:szCs w:val="15"/>
        </w:rPr>
        <w:t xml:space="preserve">Dodatkowo, przynajmniej jedna osoba z komisji musi posiadać min. 3-letnie doświadczenie w przeprowadzaniu egzaminów z zakresu opisanych efektów uczenia się. </w:t>
      </w:r>
    </w:p>
    <w:p>
      <w:pPr>
        <w:pStyle w:val="Normal"/>
        <w:numPr>
          <w:ilvl w:val="1"/>
          <w:numId w:val="5"/>
        </w:numPr>
        <w:spacing w:lineRule="auto" w:line="276" w:before="0" w:after="120"/>
        <w:contextualSpacing/>
        <w:jc w:val="both"/>
        <w:rPr>
          <w:rFonts w:ascii="Arial" w:hAnsi="Arial" w:cs="Arial"/>
          <w:sz w:val="15"/>
          <w:szCs w:val="15"/>
          <w:u w:val="single"/>
        </w:rPr>
      </w:pPr>
      <w:r>
        <w:rPr>
          <w:rFonts w:cs="Arial" w:ascii="Arial" w:hAnsi="Arial"/>
          <w:sz w:val="15"/>
          <w:szCs w:val="15"/>
          <w:u w:val="single"/>
        </w:rPr>
        <w:t xml:space="preserve">Sposób organizacji walidacji oraz warunki organizacyjne i materialne. </w:t>
      </w:r>
    </w:p>
    <w:p>
      <w:pPr>
        <w:pStyle w:val="Normal"/>
        <w:spacing w:before="0" w:after="120"/>
        <w:contextualSpacing/>
        <w:jc w:val="both"/>
        <w:rPr>
          <w:rFonts w:ascii="Arial" w:hAnsi="Arial" w:cs="Arial"/>
          <w:sz w:val="15"/>
          <w:szCs w:val="15"/>
        </w:rPr>
      </w:pPr>
      <w:r>
        <w:rPr>
          <w:rFonts w:cs="Arial" w:ascii="Arial" w:hAnsi="Arial"/>
          <w:sz w:val="15"/>
          <w:szCs w:val="15"/>
        </w:rPr>
        <w:t xml:space="preserve">Pozytywny wynik części teoretycznej dopuszcza do części praktycznej. Instytucja certyfikująca posiada ubezpieczenie </w:t>
        <w:br/>
        <w:t xml:space="preserve">od odpowiedzialności cywilnej za możliwe szkody wyrządzone przez osoby podchodzące do walidacji oraz zapewnia: </w:t>
      </w:r>
    </w:p>
    <w:p>
      <w:pPr>
        <w:pStyle w:val="Normal"/>
        <w:numPr>
          <w:ilvl w:val="0"/>
          <w:numId w:val="8"/>
        </w:numPr>
        <w:spacing w:lineRule="auto" w:line="276" w:before="0" w:after="120"/>
        <w:ind w:left="469" w:hanging="360"/>
        <w:contextualSpacing/>
        <w:jc w:val="both"/>
        <w:rPr>
          <w:rFonts w:ascii="Arial" w:hAnsi="Arial" w:cs="Arial"/>
          <w:sz w:val="15"/>
          <w:szCs w:val="15"/>
        </w:rPr>
      </w:pPr>
      <w:r>
        <w:rPr>
          <w:rFonts w:cs="Arial" w:ascii="Arial" w:hAnsi="Arial"/>
          <w:sz w:val="15"/>
          <w:szCs w:val="15"/>
        </w:rPr>
        <w:t>salę ze stanowiskami (stoły i krzesła) pozwalającymi na samodzielne wypełnienie testu teoretycznego (w przypadku testu pisemnego) lub na swobodne przeprowadzenie testu ustnego,</w:t>
      </w:r>
    </w:p>
    <w:p>
      <w:pPr>
        <w:pStyle w:val="Normal"/>
        <w:numPr>
          <w:ilvl w:val="0"/>
          <w:numId w:val="8"/>
        </w:numPr>
        <w:spacing w:lineRule="auto" w:line="276" w:before="0" w:after="120"/>
        <w:ind w:left="469" w:hanging="360"/>
        <w:contextualSpacing/>
        <w:jc w:val="both"/>
        <w:rPr>
          <w:rFonts w:ascii="Arial" w:hAnsi="Arial" w:cs="Arial"/>
          <w:sz w:val="15"/>
          <w:szCs w:val="15"/>
        </w:rPr>
      </w:pPr>
      <w:r>
        <w:rPr>
          <w:rFonts w:cs="Arial" w:ascii="Arial" w:hAnsi="Arial"/>
          <w:sz w:val="15"/>
          <w:szCs w:val="15"/>
        </w:rPr>
        <w:t>pracownię/ przestrzeń wyposażoną w narzędzia/ sprzęty/ pomoce niezbędne do wykonania części praktycznej weryfikacji. Przygotowane stanowiska powinny zapewniać samodzielną pracę zdających część praktyczną oraz spełniać obowiązujące normy,</w:t>
      </w:r>
    </w:p>
    <w:p>
      <w:pPr>
        <w:pStyle w:val="Normal"/>
        <w:numPr>
          <w:ilvl w:val="0"/>
          <w:numId w:val="8"/>
        </w:numPr>
        <w:spacing w:lineRule="auto" w:line="276" w:before="0" w:after="120"/>
        <w:ind w:left="469" w:hanging="360"/>
        <w:contextualSpacing/>
        <w:jc w:val="both"/>
        <w:rPr>
          <w:rFonts w:ascii="Arial" w:hAnsi="Arial" w:cs="Arial"/>
          <w:sz w:val="15"/>
          <w:szCs w:val="15"/>
        </w:rPr>
      </w:pPr>
      <w:r>
        <w:rPr>
          <w:rFonts w:cs="Arial" w:ascii="Arial" w:hAnsi="Arial"/>
          <w:sz w:val="15"/>
          <w:szCs w:val="15"/>
        </w:rPr>
        <w:t xml:space="preserve">sejf (szafę zamykaną) do zabezpieczenia materiałów przed nieuprawnionym ujawnieniem lub specjalnie przeznaczone do tego celu pomieszczenie – do dyspozycji przewodniczącego zespołu egzaminacyjnego, </w:t>
      </w:r>
    </w:p>
    <w:p>
      <w:pPr>
        <w:pStyle w:val="Normal"/>
        <w:numPr>
          <w:ilvl w:val="1"/>
          <w:numId w:val="9"/>
        </w:numPr>
        <w:spacing w:lineRule="auto" w:line="276" w:before="0" w:after="120"/>
        <w:ind w:left="469" w:hanging="360"/>
        <w:contextualSpacing/>
        <w:jc w:val="both"/>
        <w:rPr>
          <w:rFonts w:ascii="Arial" w:hAnsi="Arial" w:cs="Arial"/>
          <w:sz w:val="15"/>
          <w:szCs w:val="15"/>
        </w:rPr>
      </w:pPr>
      <w:r>
        <w:rPr>
          <w:rFonts w:cs="Arial" w:ascii="Arial" w:hAnsi="Arial"/>
          <w:sz w:val="15"/>
          <w:szCs w:val="15"/>
        </w:rPr>
        <w:t>Min. 3 klientów dla każdej osoby przystępującej do walidacji,</w:t>
      </w:r>
    </w:p>
    <w:p>
      <w:pPr>
        <w:pStyle w:val="Normal"/>
        <w:numPr>
          <w:ilvl w:val="1"/>
          <w:numId w:val="9"/>
        </w:numPr>
        <w:spacing w:lineRule="auto" w:line="276" w:before="0" w:after="120"/>
        <w:ind w:left="469" w:hanging="360"/>
        <w:contextualSpacing/>
        <w:jc w:val="both"/>
        <w:rPr>
          <w:rFonts w:ascii="Arial" w:hAnsi="Arial" w:cs="Arial"/>
          <w:sz w:val="15"/>
          <w:szCs w:val="15"/>
        </w:rPr>
      </w:pPr>
      <w:r>
        <w:rPr>
          <w:rFonts w:cs="Arial" w:ascii="Arial" w:hAnsi="Arial"/>
          <w:sz w:val="15"/>
          <w:szCs w:val="15"/>
        </w:rPr>
        <w:t>Cęgi do paznokci różnej wielkości,</w:t>
      </w:r>
    </w:p>
    <w:p>
      <w:pPr>
        <w:pStyle w:val="Normal"/>
        <w:numPr>
          <w:ilvl w:val="1"/>
          <w:numId w:val="9"/>
        </w:numPr>
        <w:spacing w:lineRule="auto" w:line="276" w:before="0" w:after="120"/>
        <w:ind w:left="469" w:hanging="360"/>
        <w:contextualSpacing/>
        <w:jc w:val="both"/>
        <w:rPr>
          <w:rFonts w:ascii="Arial" w:hAnsi="Arial" w:cs="Arial"/>
          <w:sz w:val="15"/>
          <w:szCs w:val="15"/>
        </w:rPr>
      </w:pPr>
      <w:r>
        <w:rPr>
          <w:rFonts w:cs="Arial" w:ascii="Arial" w:hAnsi="Arial"/>
          <w:sz w:val="15"/>
          <w:szCs w:val="15"/>
        </w:rPr>
        <w:t>Cęgi czołowe,</w:t>
      </w:r>
    </w:p>
    <w:p>
      <w:pPr>
        <w:pStyle w:val="Normal"/>
        <w:numPr>
          <w:ilvl w:val="1"/>
          <w:numId w:val="9"/>
        </w:numPr>
        <w:spacing w:lineRule="auto" w:line="276" w:before="0" w:after="120"/>
        <w:ind w:left="469" w:hanging="360"/>
        <w:contextualSpacing/>
        <w:jc w:val="both"/>
        <w:rPr>
          <w:rFonts w:ascii="Arial" w:hAnsi="Arial" w:cs="Arial"/>
          <w:sz w:val="15"/>
          <w:szCs w:val="15"/>
        </w:rPr>
      </w:pPr>
      <w:r>
        <w:rPr>
          <w:rFonts w:cs="Arial" w:ascii="Arial" w:hAnsi="Arial"/>
          <w:sz w:val="15"/>
          <w:szCs w:val="15"/>
        </w:rPr>
        <w:t>Cęgi boczne do usuwania wrastających elementów paznokcia,</w:t>
      </w:r>
    </w:p>
    <w:p>
      <w:pPr>
        <w:pStyle w:val="Normal"/>
        <w:numPr>
          <w:ilvl w:val="1"/>
          <w:numId w:val="9"/>
        </w:numPr>
        <w:spacing w:lineRule="auto" w:line="276" w:before="0" w:after="120"/>
        <w:ind w:left="469" w:hanging="360"/>
        <w:contextualSpacing/>
        <w:jc w:val="both"/>
        <w:rPr>
          <w:rFonts w:ascii="Arial" w:hAnsi="Arial" w:cs="Arial"/>
          <w:sz w:val="15"/>
          <w:szCs w:val="15"/>
        </w:rPr>
      </w:pPr>
      <w:r>
        <w:rPr>
          <w:rFonts w:cs="Arial" w:ascii="Arial" w:hAnsi="Arial"/>
          <w:sz w:val="15"/>
          <w:szCs w:val="15"/>
        </w:rPr>
        <w:t>Instrument dwustronny (sonda) do sondowania wałów paznokciowych,</w:t>
      </w:r>
    </w:p>
    <w:p>
      <w:pPr>
        <w:pStyle w:val="Normal"/>
        <w:numPr>
          <w:ilvl w:val="1"/>
          <w:numId w:val="9"/>
        </w:numPr>
        <w:spacing w:lineRule="auto" w:line="276" w:before="0" w:after="120"/>
        <w:ind w:left="469" w:hanging="360"/>
        <w:contextualSpacing/>
        <w:jc w:val="both"/>
        <w:rPr>
          <w:rFonts w:ascii="Arial" w:hAnsi="Arial" w:cs="Arial"/>
          <w:sz w:val="15"/>
          <w:szCs w:val="15"/>
        </w:rPr>
      </w:pPr>
      <w:r>
        <w:rPr>
          <w:rFonts w:cs="Arial" w:ascii="Arial" w:hAnsi="Arial"/>
          <w:sz w:val="15"/>
          <w:szCs w:val="15"/>
        </w:rPr>
        <w:t>Uchwyt do dłuta,</w:t>
      </w:r>
    </w:p>
    <w:p>
      <w:pPr>
        <w:pStyle w:val="Normal"/>
        <w:numPr>
          <w:ilvl w:val="1"/>
          <w:numId w:val="9"/>
        </w:numPr>
        <w:spacing w:lineRule="auto" w:line="276" w:before="0" w:after="120"/>
        <w:ind w:left="469" w:hanging="360"/>
        <w:contextualSpacing/>
        <w:jc w:val="both"/>
        <w:rPr>
          <w:rFonts w:ascii="Arial" w:hAnsi="Arial" w:cs="Arial"/>
          <w:sz w:val="15"/>
          <w:szCs w:val="15"/>
        </w:rPr>
      </w:pPr>
      <w:r>
        <w:rPr>
          <w:rFonts w:cs="Arial" w:ascii="Arial" w:hAnsi="Arial"/>
          <w:sz w:val="15"/>
          <w:szCs w:val="15"/>
        </w:rPr>
        <w:t>Ostrza do dłuta,</w:t>
      </w:r>
    </w:p>
    <w:p>
      <w:pPr>
        <w:pStyle w:val="Normal"/>
        <w:numPr>
          <w:ilvl w:val="1"/>
          <w:numId w:val="9"/>
        </w:numPr>
        <w:spacing w:lineRule="auto" w:line="276" w:before="0" w:after="120"/>
        <w:ind w:left="469" w:hanging="360"/>
        <w:contextualSpacing/>
        <w:jc w:val="both"/>
        <w:rPr>
          <w:rFonts w:ascii="Arial" w:hAnsi="Arial" w:cs="Arial"/>
          <w:sz w:val="15"/>
          <w:szCs w:val="15"/>
        </w:rPr>
      </w:pPr>
      <w:r>
        <w:rPr>
          <w:rFonts w:cs="Arial" w:ascii="Arial" w:hAnsi="Arial"/>
          <w:sz w:val="15"/>
          <w:szCs w:val="15"/>
        </w:rPr>
        <w:t>Uchwyt do skalpela,</w:t>
      </w:r>
    </w:p>
    <w:p>
      <w:pPr>
        <w:pStyle w:val="Normal"/>
        <w:numPr>
          <w:ilvl w:val="1"/>
          <w:numId w:val="9"/>
        </w:numPr>
        <w:spacing w:lineRule="auto" w:line="276" w:before="0" w:after="120"/>
        <w:ind w:left="469" w:hanging="360"/>
        <w:contextualSpacing/>
        <w:jc w:val="both"/>
        <w:rPr>
          <w:rFonts w:ascii="Arial" w:hAnsi="Arial" w:cs="Arial"/>
          <w:sz w:val="15"/>
          <w:szCs w:val="15"/>
        </w:rPr>
      </w:pPr>
      <w:r>
        <w:rPr>
          <w:rFonts w:cs="Arial" w:ascii="Arial" w:hAnsi="Arial"/>
          <w:sz w:val="15"/>
          <w:szCs w:val="15"/>
        </w:rPr>
        <w:t>Ostrza do skalpela,</w:t>
      </w:r>
    </w:p>
    <w:p>
      <w:pPr>
        <w:pStyle w:val="Normal"/>
        <w:numPr>
          <w:ilvl w:val="1"/>
          <w:numId w:val="9"/>
        </w:numPr>
        <w:spacing w:lineRule="auto" w:line="276" w:before="0" w:after="120"/>
        <w:ind w:left="469" w:hanging="360"/>
        <w:contextualSpacing/>
        <w:jc w:val="both"/>
        <w:rPr>
          <w:rFonts w:ascii="Arial" w:hAnsi="Arial" w:cs="Arial"/>
          <w:sz w:val="15"/>
          <w:szCs w:val="15"/>
        </w:rPr>
      </w:pPr>
      <w:r>
        <w:rPr>
          <w:rFonts w:cs="Arial" w:ascii="Arial" w:hAnsi="Arial"/>
          <w:sz w:val="15"/>
          <w:szCs w:val="15"/>
        </w:rPr>
        <w:t>Szpatułki metalowe,</w:t>
      </w:r>
    </w:p>
    <w:p>
      <w:pPr>
        <w:pStyle w:val="Normal"/>
        <w:numPr>
          <w:ilvl w:val="1"/>
          <w:numId w:val="9"/>
        </w:numPr>
        <w:spacing w:lineRule="auto" w:line="276" w:before="0" w:after="120"/>
        <w:ind w:left="469" w:hanging="360"/>
        <w:contextualSpacing/>
        <w:jc w:val="both"/>
        <w:rPr>
          <w:rFonts w:ascii="Arial" w:hAnsi="Arial" w:cs="Arial"/>
          <w:sz w:val="15"/>
          <w:szCs w:val="15"/>
        </w:rPr>
      </w:pPr>
      <w:r>
        <w:rPr>
          <w:rFonts w:cs="Arial" w:ascii="Arial" w:hAnsi="Arial"/>
          <w:sz w:val="15"/>
          <w:szCs w:val="15"/>
        </w:rPr>
        <w:t>Pilniki do paznokci, w tym: kątowy, jednorazowy do polerowania,</w:t>
      </w:r>
    </w:p>
    <w:p>
      <w:pPr>
        <w:pStyle w:val="Normal"/>
        <w:numPr>
          <w:ilvl w:val="1"/>
          <w:numId w:val="9"/>
        </w:numPr>
        <w:spacing w:lineRule="auto" w:line="276" w:before="0" w:after="120"/>
        <w:ind w:left="469" w:hanging="360"/>
        <w:contextualSpacing/>
        <w:jc w:val="both"/>
        <w:rPr>
          <w:rFonts w:ascii="Arial" w:hAnsi="Arial" w:cs="Arial"/>
          <w:sz w:val="15"/>
          <w:szCs w:val="15"/>
        </w:rPr>
      </w:pPr>
      <w:r>
        <w:rPr>
          <w:rFonts w:cs="Arial" w:ascii="Arial" w:hAnsi="Arial"/>
          <w:sz w:val="15"/>
          <w:szCs w:val="15"/>
        </w:rPr>
        <w:t>Nożyczki opatrunkowe,</w:t>
      </w:r>
    </w:p>
    <w:p>
      <w:pPr>
        <w:pStyle w:val="Normal"/>
        <w:numPr>
          <w:ilvl w:val="1"/>
          <w:numId w:val="9"/>
        </w:numPr>
        <w:spacing w:lineRule="auto" w:line="276" w:before="0" w:after="120"/>
        <w:ind w:left="469" w:hanging="360"/>
        <w:contextualSpacing/>
        <w:jc w:val="both"/>
        <w:rPr>
          <w:rFonts w:ascii="Arial" w:hAnsi="Arial" w:cs="Arial"/>
          <w:sz w:val="15"/>
          <w:szCs w:val="15"/>
        </w:rPr>
      </w:pPr>
      <w:r>
        <w:rPr>
          <w:rFonts w:cs="Arial" w:ascii="Arial" w:hAnsi="Arial"/>
          <w:sz w:val="15"/>
          <w:szCs w:val="15"/>
        </w:rPr>
        <w:t>Pęsety do skóry/ opatrunków/ instrumentów,</w:t>
      </w:r>
    </w:p>
    <w:p>
      <w:pPr>
        <w:pStyle w:val="Normal"/>
        <w:numPr>
          <w:ilvl w:val="1"/>
          <w:numId w:val="9"/>
        </w:numPr>
        <w:spacing w:lineRule="auto" w:line="276" w:before="0" w:after="120"/>
        <w:ind w:left="469" w:hanging="360"/>
        <w:contextualSpacing/>
        <w:jc w:val="both"/>
        <w:rPr>
          <w:rFonts w:ascii="Arial" w:hAnsi="Arial" w:cs="Arial"/>
          <w:sz w:val="15"/>
          <w:szCs w:val="15"/>
        </w:rPr>
      </w:pPr>
      <w:r>
        <w:rPr>
          <w:rFonts w:cs="Arial" w:ascii="Arial" w:hAnsi="Arial"/>
          <w:sz w:val="15"/>
          <w:szCs w:val="15"/>
        </w:rPr>
        <w:t>Instrumenty rotacyjne mocowane w uchwytach frezarki, turbiny,</w:t>
      </w:r>
    </w:p>
    <w:p>
      <w:pPr>
        <w:pStyle w:val="Normal"/>
        <w:numPr>
          <w:ilvl w:val="1"/>
          <w:numId w:val="9"/>
        </w:numPr>
        <w:spacing w:lineRule="auto" w:line="276" w:before="0" w:after="120"/>
        <w:ind w:left="469" w:hanging="360"/>
        <w:contextualSpacing/>
        <w:jc w:val="both"/>
        <w:rPr>
          <w:rFonts w:ascii="Arial" w:hAnsi="Arial" w:cs="Arial"/>
          <w:sz w:val="15"/>
          <w:szCs w:val="15"/>
        </w:rPr>
      </w:pPr>
      <w:r>
        <w:rPr>
          <w:rFonts w:cs="Arial" w:ascii="Arial" w:hAnsi="Arial"/>
          <w:sz w:val="15"/>
          <w:szCs w:val="15"/>
        </w:rPr>
        <w:t>Sprzęt do wykonywania i aplikacji klamer ortonyksyjnych zapewniających zastosowanie wszystkich sił,</w:t>
      </w:r>
    </w:p>
    <w:p>
      <w:pPr>
        <w:pStyle w:val="Normal"/>
        <w:numPr>
          <w:ilvl w:val="1"/>
          <w:numId w:val="9"/>
        </w:numPr>
        <w:spacing w:lineRule="auto" w:line="276" w:before="0" w:after="120"/>
        <w:ind w:left="469" w:hanging="360"/>
        <w:contextualSpacing/>
        <w:jc w:val="both"/>
        <w:rPr>
          <w:rFonts w:ascii="Arial" w:hAnsi="Arial" w:cs="Arial"/>
          <w:sz w:val="15"/>
          <w:szCs w:val="15"/>
        </w:rPr>
      </w:pPr>
      <w:r>
        <w:rPr>
          <w:rFonts w:cs="Arial" w:ascii="Arial" w:hAnsi="Arial"/>
          <w:sz w:val="15"/>
          <w:szCs w:val="15"/>
        </w:rPr>
        <w:t>Aplikatory do opatrunków rurkowych,</w:t>
      </w:r>
    </w:p>
    <w:p>
      <w:pPr>
        <w:pStyle w:val="Normal"/>
        <w:numPr>
          <w:ilvl w:val="1"/>
          <w:numId w:val="9"/>
        </w:numPr>
        <w:spacing w:lineRule="auto" w:line="276" w:before="0" w:after="120"/>
        <w:ind w:left="469" w:hanging="360"/>
        <w:contextualSpacing/>
        <w:jc w:val="both"/>
        <w:rPr>
          <w:rFonts w:ascii="Arial" w:hAnsi="Arial" w:cs="Arial"/>
          <w:sz w:val="15"/>
          <w:szCs w:val="15"/>
        </w:rPr>
      </w:pPr>
      <w:r>
        <w:rPr>
          <w:rFonts w:cs="Arial" w:ascii="Arial" w:hAnsi="Arial"/>
          <w:sz w:val="15"/>
          <w:szCs w:val="15"/>
        </w:rPr>
        <w:t>Opatrunek rurkowy,</w:t>
      </w:r>
    </w:p>
    <w:p>
      <w:pPr>
        <w:pStyle w:val="Normal"/>
        <w:numPr>
          <w:ilvl w:val="1"/>
          <w:numId w:val="9"/>
        </w:numPr>
        <w:spacing w:lineRule="auto" w:line="276" w:before="0" w:after="120"/>
        <w:ind w:left="469" w:hanging="360"/>
        <w:contextualSpacing/>
        <w:jc w:val="both"/>
        <w:rPr>
          <w:rFonts w:ascii="Arial" w:hAnsi="Arial" w:cs="Arial"/>
          <w:sz w:val="15"/>
          <w:szCs w:val="15"/>
        </w:rPr>
      </w:pPr>
      <w:r>
        <w:rPr>
          <w:rFonts w:cs="Arial" w:ascii="Arial" w:hAnsi="Arial"/>
          <w:sz w:val="15"/>
          <w:szCs w:val="15"/>
        </w:rPr>
        <w:t>Frezarka z pochłaniaczem lub ze sprayem,</w:t>
      </w:r>
    </w:p>
    <w:p>
      <w:pPr>
        <w:pStyle w:val="Normal"/>
        <w:numPr>
          <w:ilvl w:val="1"/>
          <w:numId w:val="9"/>
        </w:numPr>
        <w:spacing w:lineRule="auto" w:line="276" w:before="0" w:after="120"/>
        <w:ind w:left="469" w:hanging="360"/>
        <w:contextualSpacing/>
        <w:jc w:val="both"/>
        <w:rPr>
          <w:rFonts w:ascii="Arial" w:hAnsi="Arial" w:cs="Arial"/>
          <w:sz w:val="15"/>
          <w:szCs w:val="15"/>
        </w:rPr>
      </w:pPr>
      <w:r>
        <w:rPr>
          <w:rFonts w:cs="Arial" w:ascii="Arial" w:hAnsi="Arial"/>
          <w:sz w:val="15"/>
          <w:szCs w:val="15"/>
        </w:rPr>
        <w:t>Turbina podologiczną,</w:t>
      </w:r>
    </w:p>
    <w:p>
      <w:pPr>
        <w:pStyle w:val="Normal"/>
        <w:numPr>
          <w:ilvl w:val="1"/>
          <w:numId w:val="9"/>
        </w:numPr>
        <w:spacing w:lineRule="auto" w:line="276" w:before="0" w:after="120"/>
        <w:ind w:left="469" w:hanging="360"/>
        <w:contextualSpacing/>
        <w:jc w:val="both"/>
        <w:rPr>
          <w:rFonts w:ascii="Arial" w:hAnsi="Arial" w:cs="Arial"/>
          <w:sz w:val="15"/>
          <w:szCs w:val="15"/>
        </w:rPr>
      </w:pPr>
      <w:r>
        <w:rPr>
          <w:rFonts w:cs="Arial" w:ascii="Arial" w:hAnsi="Arial"/>
          <w:sz w:val="15"/>
          <w:szCs w:val="15"/>
        </w:rPr>
        <w:t>Lupo – lampa,</w:t>
      </w:r>
    </w:p>
    <w:p>
      <w:pPr>
        <w:pStyle w:val="Normal"/>
        <w:numPr>
          <w:ilvl w:val="1"/>
          <w:numId w:val="9"/>
        </w:numPr>
        <w:spacing w:lineRule="auto" w:line="276" w:before="0" w:after="120"/>
        <w:ind w:left="469" w:hanging="360"/>
        <w:contextualSpacing/>
        <w:jc w:val="both"/>
        <w:rPr>
          <w:rFonts w:ascii="Arial" w:hAnsi="Arial" w:cs="Arial"/>
          <w:sz w:val="15"/>
          <w:szCs w:val="15"/>
        </w:rPr>
      </w:pPr>
      <w:r>
        <w:rPr>
          <w:rFonts w:cs="Arial" w:ascii="Arial" w:hAnsi="Arial"/>
          <w:sz w:val="15"/>
          <w:szCs w:val="15"/>
        </w:rPr>
        <w:t>Fotel zabiegowy 1 – 5 motorowy (dla klienta),</w:t>
      </w:r>
    </w:p>
    <w:p>
      <w:pPr>
        <w:pStyle w:val="Normal"/>
        <w:numPr>
          <w:ilvl w:val="1"/>
          <w:numId w:val="9"/>
        </w:numPr>
        <w:spacing w:lineRule="auto" w:line="276" w:before="0" w:after="120"/>
        <w:ind w:left="469" w:hanging="360"/>
        <w:contextualSpacing/>
        <w:jc w:val="both"/>
        <w:rPr>
          <w:rFonts w:ascii="Arial" w:hAnsi="Arial" w:cs="Arial"/>
          <w:sz w:val="15"/>
          <w:szCs w:val="15"/>
        </w:rPr>
      </w:pPr>
      <w:r>
        <w:rPr>
          <w:rFonts w:cs="Arial" w:ascii="Arial" w:hAnsi="Arial"/>
          <w:sz w:val="15"/>
          <w:szCs w:val="15"/>
        </w:rPr>
        <w:t>Krzesło zabiegowe (dla pracującego specjalisty),</w:t>
      </w:r>
    </w:p>
    <w:p>
      <w:pPr>
        <w:pStyle w:val="Normal"/>
        <w:numPr>
          <w:ilvl w:val="1"/>
          <w:numId w:val="9"/>
        </w:numPr>
        <w:spacing w:lineRule="auto" w:line="276" w:before="0" w:after="120"/>
        <w:ind w:left="469" w:hanging="360"/>
        <w:contextualSpacing/>
        <w:jc w:val="both"/>
        <w:rPr>
          <w:rFonts w:ascii="Arial" w:hAnsi="Arial" w:cs="Arial"/>
          <w:sz w:val="15"/>
          <w:szCs w:val="15"/>
        </w:rPr>
      </w:pPr>
      <w:r>
        <w:rPr>
          <w:rFonts w:cs="Arial" w:ascii="Arial" w:hAnsi="Arial"/>
          <w:sz w:val="15"/>
          <w:szCs w:val="15"/>
        </w:rPr>
        <w:t>Szafka podologiczną,</w:t>
      </w:r>
    </w:p>
    <w:p>
      <w:pPr>
        <w:pStyle w:val="Normal"/>
        <w:numPr>
          <w:ilvl w:val="1"/>
          <w:numId w:val="9"/>
        </w:numPr>
        <w:spacing w:lineRule="auto" w:line="276" w:before="0" w:after="120"/>
        <w:ind w:left="469" w:hanging="360"/>
        <w:contextualSpacing/>
        <w:jc w:val="both"/>
        <w:rPr>
          <w:rFonts w:ascii="Arial" w:hAnsi="Arial" w:cs="Arial"/>
          <w:sz w:val="15"/>
          <w:szCs w:val="15"/>
        </w:rPr>
      </w:pPr>
      <w:r>
        <w:rPr>
          <w:rFonts w:cs="Arial" w:ascii="Arial" w:hAnsi="Arial"/>
          <w:sz w:val="15"/>
          <w:szCs w:val="15"/>
        </w:rPr>
        <w:t>Myjka ultradźwiękowa,</w:t>
      </w:r>
    </w:p>
    <w:p>
      <w:pPr>
        <w:pStyle w:val="Normal"/>
        <w:numPr>
          <w:ilvl w:val="1"/>
          <w:numId w:val="9"/>
        </w:numPr>
        <w:spacing w:lineRule="auto" w:line="276" w:before="0" w:after="120"/>
        <w:ind w:left="469" w:hanging="360"/>
        <w:contextualSpacing/>
        <w:jc w:val="both"/>
        <w:rPr>
          <w:rFonts w:ascii="Arial" w:hAnsi="Arial" w:cs="Arial"/>
          <w:sz w:val="15"/>
          <w:szCs w:val="15"/>
        </w:rPr>
      </w:pPr>
      <w:r>
        <w:rPr>
          <w:rFonts w:cs="Arial" w:ascii="Arial" w:hAnsi="Arial"/>
          <w:sz w:val="15"/>
          <w:szCs w:val="15"/>
        </w:rPr>
        <w:t>Autoklaw,</w:t>
      </w:r>
    </w:p>
    <w:p>
      <w:pPr>
        <w:pStyle w:val="Normal"/>
        <w:numPr>
          <w:ilvl w:val="1"/>
          <w:numId w:val="9"/>
        </w:numPr>
        <w:spacing w:lineRule="auto" w:line="276" w:before="0" w:after="120"/>
        <w:ind w:left="469" w:hanging="360"/>
        <w:contextualSpacing/>
        <w:jc w:val="both"/>
        <w:rPr>
          <w:rFonts w:ascii="Arial" w:hAnsi="Arial" w:cs="Arial"/>
          <w:sz w:val="15"/>
          <w:szCs w:val="15"/>
        </w:rPr>
      </w:pPr>
      <w:r>
        <w:rPr>
          <w:rFonts w:cs="Arial" w:ascii="Arial" w:hAnsi="Arial"/>
          <w:sz w:val="15"/>
          <w:szCs w:val="15"/>
        </w:rPr>
        <w:t>Zgrzewarka do rękawa do sterylizacji i rękaw foliowo- papierowy lub torebki foliowo-papierowe do sterylizacji narzędzi,</w:t>
      </w:r>
    </w:p>
    <w:p>
      <w:pPr>
        <w:pStyle w:val="Normal"/>
        <w:numPr>
          <w:ilvl w:val="1"/>
          <w:numId w:val="9"/>
        </w:numPr>
        <w:spacing w:lineRule="auto" w:line="276" w:before="0" w:after="120"/>
        <w:ind w:left="469" w:hanging="360"/>
        <w:contextualSpacing/>
        <w:jc w:val="both"/>
        <w:rPr>
          <w:rFonts w:ascii="Arial" w:hAnsi="Arial" w:cs="Arial"/>
          <w:sz w:val="15"/>
          <w:szCs w:val="15"/>
        </w:rPr>
      </w:pPr>
      <w:r>
        <w:rPr>
          <w:rFonts w:cs="Arial" w:ascii="Arial" w:hAnsi="Arial"/>
          <w:sz w:val="15"/>
          <w:szCs w:val="15"/>
        </w:rPr>
        <w:t>Instrumenty i urządzenia do pomiaru deformacji stóp,</w:t>
      </w:r>
    </w:p>
    <w:p>
      <w:pPr>
        <w:pStyle w:val="Normal"/>
        <w:numPr>
          <w:ilvl w:val="1"/>
          <w:numId w:val="9"/>
        </w:numPr>
        <w:spacing w:lineRule="auto" w:line="276" w:before="0" w:after="120"/>
        <w:ind w:left="469" w:hanging="360"/>
        <w:contextualSpacing/>
        <w:jc w:val="both"/>
        <w:rPr>
          <w:rFonts w:ascii="Arial" w:hAnsi="Arial" w:cs="Arial"/>
          <w:sz w:val="15"/>
          <w:szCs w:val="15"/>
        </w:rPr>
      </w:pPr>
      <w:r>
        <w:rPr>
          <w:rFonts w:cs="Arial" w:ascii="Arial" w:hAnsi="Arial"/>
          <w:sz w:val="15"/>
          <w:szCs w:val="15"/>
        </w:rPr>
        <w:t>Urządzenia do zabiegów elektrokoagulacji i wymrażania,</w:t>
      </w:r>
    </w:p>
    <w:p>
      <w:pPr>
        <w:pStyle w:val="Normal"/>
        <w:numPr>
          <w:ilvl w:val="1"/>
          <w:numId w:val="9"/>
        </w:numPr>
        <w:spacing w:lineRule="auto" w:line="276" w:before="0" w:after="120"/>
        <w:ind w:left="469" w:hanging="360"/>
        <w:contextualSpacing/>
        <w:jc w:val="both"/>
        <w:rPr>
          <w:rFonts w:ascii="Arial" w:hAnsi="Arial" w:cs="Arial"/>
          <w:sz w:val="15"/>
          <w:szCs w:val="15"/>
        </w:rPr>
      </w:pPr>
      <w:r>
        <w:rPr>
          <w:rFonts w:cs="Arial" w:ascii="Arial" w:hAnsi="Arial"/>
          <w:sz w:val="15"/>
          <w:szCs w:val="15"/>
        </w:rPr>
        <w:t>Instrumenty i urządzenia do zabiegów balneologicznych,</w:t>
      </w:r>
    </w:p>
    <w:p>
      <w:pPr>
        <w:pStyle w:val="Normal"/>
        <w:numPr>
          <w:ilvl w:val="1"/>
          <w:numId w:val="9"/>
        </w:numPr>
        <w:spacing w:lineRule="auto" w:line="276" w:before="0" w:after="120"/>
        <w:ind w:left="469" w:hanging="360"/>
        <w:contextualSpacing/>
        <w:jc w:val="both"/>
        <w:rPr>
          <w:rFonts w:ascii="Arial" w:hAnsi="Arial" w:cs="Arial"/>
          <w:sz w:val="15"/>
          <w:szCs w:val="15"/>
        </w:rPr>
      </w:pPr>
      <w:r>
        <w:rPr>
          <w:rFonts w:cs="Arial" w:ascii="Arial" w:hAnsi="Arial"/>
          <w:sz w:val="15"/>
          <w:szCs w:val="15"/>
        </w:rPr>
        <w:t>Narzędzia diagnostyczne stopy cukrzycowej (Tip Therm, monofilament, kamerton,),</w:t>
      </w:r>
    </w:p>
    <w:p>
      <w:pPr>
        <w:pStyle w:val="Normal"/>
        <w:numPr>
          <w:ilvl w:val="1"/>
          <w:numId w:val="9"/>
        </w:numPr>
        <w:spacing w:lineRule="auto" w:line="276" w:before="0" w:after="120"/>
        <w:ind w:left="469" w:hanging="360"/>
        <w:contextualSpacing/>
        <w:jc w:val="both"/>
        <w:rPr>
          <w:rFonts w:ascii="Arial" w:hAnsi="Arial" w:cs="Arial"/>
          <w:sz w:val="15"/>
          <w:szCs w:val="15"/>
        </w:rPr>
      </w:pPr>
      <w:r>
        <w:rPr>
          <w:rFonts w:cs="Arial" w:ascii="Arial" w:hAnsi="Arial"/>
          <w:sz w:val="15"/>
          <w:szCs w:val="15"/>
        </w:rPr>
        <w:t>Materiały do wykonania ortoz indywidualnych,</w:t>
      </w:r>
    </w:p>
    <w:p>
      <w:pPr>
        <w:pStyle w:val="Normal"/>
        <w:numPr>
          <w:ilvl w:val="1"/>
          <w:numId w:val="9"/>
        </w:numPr>
        <w:spacing w:lineRule="auto" w:line="276" w:before="0" w:after="120"/>
        <w:ind w:left="469" w:hanging="360"/>
        <w:contextualSpacing/>
        <w:jc w:val="both"/>
        <w:rPr>
          <w:rFonts w:ascii="Arial" w:hAnsi="Arial" w:cs="Arial"/>
          <w:sz w:val="15"/>
          <w:szCs w:val="15"/>
        </w:rPr>
      </w:pPr>
      <w:r>
        <w:rPr>
          <w:rFonts w:cs="Arial" w:ascii="Arial" w:hAnsi="Arial"/>
          <w:sz w:val="15"/>
          <w:szCs w:val="15"/>
        </w:rPr>
        <w:t>Frezarka bez pochłaniacza do opracowania ortoz,</w:t>
      </w:r>
    </w:p>
    <w:p>
      <w:pPr>
        <w:pStyle w:val="Normal"/>
        <w:numPr>
          <w:ilvl w:val="1"/>
          <w:numId w:val="9"/>
        </w:numPr>
        <w:spacing w:lineRule="auto" w:line="276" w:before="0" w:after="120"/>
        <w:ind w:left="469" w:hanging="360"/>
        <w:contextualSpacing/>
        <w:jc w:val="both"/>
        <w:rPr>
          <w:rFonts w:ascii="Arial" w:hAnsi="Arial" w:cs="Arial"/>
          <w:sz w:val="15"/>
          <w:szCs w:val="15"/>
        </w:rPr>
      </w:pPr>
      <w:r>
        <w:rPr>
          <w:rFonts w:cs="Arial" w:ascii="Arial" w:hAnsi="Arial"/>
          <w:sz w:val="15"/>
          <w:szCs w:val="15"/>
        </w:rPr>
        <w:t>Preparaty do rekonstrukcji paznokci,</w:t>
      </w:r>
    </w:p>
    <w:p>
      <w:pPr>
        <w:pStyle w:val="Normal"/>
        <w:numPr>
          <w:ilvl w:val="1"/>
          <w:numId w:val="9"/>
        </w:numPr>
        <w:spacing w:lineRule="auto" w:line="276" w:before="0" w:after="120"/>
        <w:ind w:left="469" w:hanging="360"/>
        <w:contextualSpacing/>
        <w:jc w:val="both"/>
        <w:rPr>
          <w:rFonts w:ascii="Arial" w:hAnsi="Arial" w:cs="Arial"/>
          <w:sz w:val="15"/>
          <w:szCs w:val="15"/>
        </w:rPr>
      </w:pPr>
      <w:r>
        <w:rPr>
          <w:rFonts w:cs="Arial" w:ascii="Arial" w:hAnsi="Arial"/>
          <w:sz w:val="15"/>
          <w:szCs w:val="15"/>
        </w:rPr>
        <w:t>Lampa UV lub UV LED,</w:t>
      </w:r>
    </w:p>
    <w:p>
      <w:pPr>
        <w:pStyle w:val="Normal"/>
        <w:numPr>
          <w:ilvl w:val="1"/>
          <w:numId w:val="9"/>
        </w:numPr>
        <w:spacing w:lineRule="auto" w:line="276" w:before="0" w:after="120"/>
        <w:ind w:left="469" w:hanging="360"/>
        <w:contextualSpacing/>
        <w:jc w:val="both"/>
        <w:rPr>
          <w:rFonts w:ascii="Arial" w:hAnsi="Arial" w:cs="Arial"/>
          <w:sz w:val="15"/>
          <w:szCs w:val="15"/>
        </w:rPr>
      </w:pPr>
      <w:r>
        <w:rPr>
          <w:rFonts w:cs="Arial" w:ascii="Arial" w:hAnsi="Arial"/>
          <w:sz w:val="15"/>
          <w:szCs w:val="15"/>
        </w:rPr>
        <w:t>Wymazówka,</w:t>
      </w:r>
    </w:p>
    <w:p>
      <w:pPr>
        <w:pStyle w:val="Normal"/>
        <w:numPr>
          <w:ilvl w:val="1"/>
          <w:numId w:val="9"/>
        </w:numPr>
        <w:spacing w:lineRule="auto" w:line="276" w:before="0" w:after="120"/>
        <w:ind w:left="469" w:hanging="360"/>
        <w:contextualSpacing/>
        <w:jc w:val="both"/>
        <w:rPr>
          <w:rFonts w:ascii="Arial" w:hAnsi="Arial" w:cs="Arial"/>
          <w:sz w:val="15"/>
          <w:szCs w:val="15"/>
        </w:rPr>
      </w:pPr>
      <w:r>
        <w:rPr>
          <w:rFonts w:cs="Arial" w:ascii="Arial" w:hAnsi="Arial"/>
          <w:sz w:val="15"/>
          <w:szCs w:val="15"/>
        </w:rPr>
        <w:t>Probówka,</w:t>
      </w:r>
    </w:p>
    <w:p>
      <w:pPr>
        <w:pStyle w:val="Normal"/>
        <w:numPr>
          <w:ilvl w:val="1"/>
          <w:numId w:val="9"/>
        </w:numPr>
        <w:spacing w:lineRule="auto" w:line="276" w:before="0" w:after="120"/>
        <w:ind w:left="469" w:hanging="360"/>
        <w:contextualSpacing/>
        <w:jc w:val="both"/>
        <w:rPr>
          <w:rFonts w:ascii="Arial" w:hAnsi="Arial" w:cs="Arial"/>
          <w:sz w:val="15"/>
          <w:szCs w:val="15"/>
        </w:rPr>
      </w:pPr>
      <w:r>
        <w:rPr>
          <w:rFonts w:cs="Arial" w:ascii="Arial" w:hAnsi="Arial"/>
          <w:sz w:val="15"/>
          <w:szCs w:val="15"/>
        </w:rPr>
        <w:t>Jednorazowe materiały higieniczne,</w:t>
      </w:r>
    </w:p>
    <w:p>
      <w:pPr>
        <w:pStyle w:val="Normal"/>
        <w:numPr>
          <w:ilvl w:val="1"/>
          <w:numId w:val="9"/>
        </w:numPr>
        <w:spacing w:lineRule="auto" w:line="276" w:before="0" w:after="120"/>
        <w:ind w:left="469" w:hanging="360"/>
        <w:contextualSpacing/>
        <w:jc w:val="both"/>
        <w:rPr>
          <w:rFonts w:ascii="Arial" w:hAnsi="Arial" w:cs="Arial"/>
          <w:sz w:val="15"/>
          <w:szCs w:val="15"/>
        </w:rPr>
      </w:pPr>
      <w:r>
        <w:rPr>
          <w:rFonts w:cs="Arial" w:ascii="Arial" w:hAnsi="Arial"/>
          <w:sz w:val="15"/>
          <w:szCs w:val="15"/>
        </w:rPr>
        <w:t>Opatrunki, plastry, bandaże i odciążenia,</w:t>
      </w:r>
    </w:p>
    <w:p>
      <w:pPr>
        <w:pStyle w:val="Normal"/>
        <w:numPr>
          <w:ilvl w:val="1"/>
          <w:numId w:val="9"/>
        </w:numPr>
        <w:spacing w:lineRule="auto" w:line="276" w:before="0" w:after="120"/>
        <w:ind w:left="469" w:hanging="360"/>
        <w:contextualSpacing/>
        <w:jc w:val="both"/>
        <w:rPr>
          <w:rFonts w:ascii="Arial" w:hAnsi="Arial" w:cs="Arial"/>
          <w:sz w:val="15"/>
          <w:szCs w:val="15"/>
        </w:rPr>
      </w:pPr>
      <w:r>
        <w:rPr>
          <w:rFonts w:cs="Arial" w:ascii="Arial" w:hAnsi="Arial"/>
          <w:sz w:val="15"/>
          <w:szCs w:val="15"/>
        </w:rPr>
        <w:t xml:space="preserve">Preparaty przyżegające i aplikacyjne, keratolityczne niezbędne do wykonania wymaganych czynności, złuszczające, odkażające, </w:t>
      </w:r>
    </w:p>
    <w:p>
      <w:pPr>
        <w:pStyle w:val="Normal"/>
        <w:numPr>
          <w:ilvl w:val="1"/>
          <w:numId w:val="9"/>
        </w:numPr>
        <w:spacing w:lineRule="auto" w:line="276" w:before="0" w:after="120"/>
        <w:ind w:left="469" w:hanging="360"/>
        <w:contextualSpacing/>
        <w:jc w:val="both"/>
        <w:rPr>
          <w:rFonts w:ascii="Arial" w:hAnsi="Arial" w:cs="Arial"/>
          <w:sz w:val="15"/>
          <w:szCs w:val="15"/>
        </w:rPr>
      </w:pPr>
      <w:r>
        <w:rPr>
          <w:rFonts w:cs="Arial" w:ascii="Arial" w:hAnsi="Arial"/>
          <w:sz w:val="15"/>
          <w:szCs w:val="15"/>
        </w:rPr>
        <w:t>Preparaty pielęgnacyjne umożliwiające wykonanie wymaganych czynności,</w:t>
      </w:r>
    </w:p>
    <w:p>
      <w:pPr>
        <w:pStyle w:val="Normal"/>
        <w:numPr>
          <w:ilvl w:val="1"/>
          <w:numId w:val="9"/>
        </w:numPr>
        <w:spacing w:lineRule="auto" w:line="276" w:before="0" w:after="120"/>
        <w:ind w:left="469" w:hanging="360"/>
        <w:contextualSpacing/>
        <w:jc w:val="both"/>
        <w:rPr>
          <w:rFonts w:ascii="Arial" w:hAnsi="Arial" w:cs="Arial"/>
          <w:sz w:val="15"/>
          <w:szCs w:val="15"/>
        </w:rPr>
      </w:pPr>
      <w:r>
        <w:rPr>
          <w:rFonts w:cs="Arial" w:ascii="Arial" w:hAnsi="Arial"/>
          <w:sz w:val="15"/>
          <w:szCs w:val="15"/>
        </w:rPr>
        <w:t>Preparaty do dezynfekcji powierzchni i narzędzi,</w:t>
      </w:r>
    </w:p>
    <w:p>
      <w:pPr>
        <w:pStyle w:val="Normal"/>
        <w:numPr>
          <w:ilvl w:val="1"/>
          <w:numId w:val="9"/>
        </w:numPr>
        <w:spacing w:lineRule="auto" w:line="276" w:before="0" w:after="120"/>
        <w:ind w:left="469" w:hanging="360"/>
        <w:contextualSpacing/>
        <w:jc w:val="both"/>
        <w:rPr>
          <w:rFonts w:ascii="Arial" w:hAnsi="Arial" w:cs="Arial"/>
          <w:sz w:val="15"/>
          <w:szCs w:val="15"/>
        </w:rPr>
      </w:pPr>
      <w:r>
        <w:rPr>
          <w:rFonts w:cs="Arial" w:ascii="Arial" w:hAnsi="Arial"/>
          <w:sz w:val="15"/>
          <w:szCs w:val="15"/>
        </w:rPr>
        <w:t>Woda destylowana,</w:t>
      </w:r>
    </w:p>
    <w:p>
      <w:pPr>
        <w:pStyle w:val="Normal"/>
        <w:numPr>
          <w:ilvl w:val="1"/>
          <w:numId w:val="9"/>
        </w:numPr>
        <w:spacing w:lineRule="auto" w:line="276" w:before="0" w:after="120"/>
        <w:ind w:left="469" w:hanging="360"/>
        <w:contextualSpacing/>
        <w:jc w:val="both"/>
        <w:rPr>
          <w:rFonts w:ascii="Arial" w:hAnsi="Arial" w:cs="Arial"/>
          <w:sz w:val="15"/>
          <w:szCs w:val="15"/>
        </w:rPr>
      </w:pPr>
      <w:r>
        <w:rPr>
          <w:rFonts w:cs="Arial" w:ascii="Arial" w:hAnsi="Arial"/>
          <w:sz w:val="15"/>
          <w:szCs w:val="15"/>
        </w:rPr>
        <w:t>Mydło z podajnikiem i płyn dezynfekujący do rąk,</w:t>
      </w:r>
    </w:p>
    <w:p>
      <w:pPr>
        <w:pStyle w:val="Normal"/>
        <w:numPr>
          <w:ilvl w:val="1"/>
          <w:numId w:val="9"/>
        </w:numPr>
        <w:spacing w:lineRule="auto" w:line="276" w:before="0" w:after="120"/>
        <w:ind w:left="469" w:hanging="360"/>
        <w:contextualSpacing/>
        <w:jc w:val="both"/>
        <w:rPr>
          <w:rFonts w:ascii="Arial" w:hAnsi="Arial" w:cs="Arial"/>
          <w:sz w:val="15"/>
          <w:szCs w:val="15"/>
        </w:rPr>
      </w:pPr>
      <w:r>
        <w:rPr>
          <w:rFonts w:cs="Arial" w:ascii="Arial" w:hAnsi="Arial"/>
          <w:sz w:val="15"/>
          <w:szCs w:val="15"/>
        </w:rPr>
        <w:t>Ręczniki jednorazowe z podajnikiem,</w:t>
      </w:r>
    </w:p>
    <w:p>
      <w:pPr>
        <w:pStyle w:val="Normal"/>
        <w:numPr>
          <w:ilvl w:val="1"/>
          <w:numId w:val="9"/>
        </w:numPr>
        <w:spacing w:lineRule="auto" w:line="276" w:before="0" w:after="120"/>
        <w:ind w:left="469" w:hanging="360"/>
        <w:contextualSpacing/>
        <w:jc w:val="both"/>
        <w:rPr>
          <w:rFonts w:ascii="Arial" w:hAnsi="Arial" w:cs="Arial"/>
          <w:sz w:val="15"/>
          <w:szCs w:val="15"/>
        </w:rPr>
      </w:pPr>
      <w:r>
        <w:rPr>
          <w:rFonts w:cs="Arial" w:ascii="Arial" w:hAnsi="Arial"/>
          <w:sz w:val="15"/>
          <w:szCs w:val="15"/>
        </w:rPr>
        <w:t>Pojemnik na odpady do utylizacji,</w:t>
      </w:r>
    </w:p>
    <w:p>
      <w:pPr>
        <w:pStyle w:val="Normal"/>
        <w:numPr>
          <w:ilvl w:val="1"/>
          <w:numId w:val="9"/>
        </w:numPr>
        <w:spacing w:lineRule="auto" w:line="276" w:before="0" w:after="120"/>
        <w:ind w:left="469" w:hanging="360"/>
        <w:contextualSpacing/>
        <w:jc w:val="both"/>
        <w:rPr>
          <w:rFonts w:ascii="Arial" w:hAnsi="Arial" w:cs="Arial"/>
          <w:sz w:val="15"/>
          <w:szCs w:val="15"/>
        </w:rPr>
      </w:pPr>
      <w:r>
        <w:rPr>
          <w:rFonts w:cs="Arial" w:ascii="Arial" w:hAnsi="Arial"/>
          <w:sz w:val="15"/>
          <w:szCs w:val="15"/>
        </w:rPr>
        <w:t>Pojemnik na odpady komunalne,</w:t>
      </w:r>
    </w:p>
    <w:p>
      <w:pPr>
        <w:pStyle w:val="Normal"/>
        <w:numPr>
          <w:ilvl w:val="1"/>
          <w:numId w:val="9"/>
        </w:numPr>
        <w:spacing w:lineRule="auto" w:line="276" w:before="0" w:after="120"/>
        <w:ind w:left="469" w:hanging="360"/>
        <w:contextualSpacing/>
        <w:jc w:val="both"/>
        <w:rPr>
          <w:rFonts w:ascii="Arial" w:hAnsi="Arial" w:cs="Arial"/>
          <w:sz w:val="15"/>
          <w:szCs w:val="15"/>
        </w:rPr>
      </w:pPr>
      <w:r>
        <w:rPr>
          <w:rFonts w:cs="Arial" w:ascii="Arial" w:hAnsi="Arial"/>
          <w:sz w:val="15"/>
          <w:szCs w:val="15"/>
        </w:rPr>
        <w:t>Dokumentacja,</w:t>
      </w:r>
    </w:p>
    <w:p>
      <w:pPr>
        <w:pStyle w:val="Normal"/>
        <w:numPr>
          <w:ilvl w:val="1"/>
          <w:numId w:val="9"/>
        </w:numPr>
        <w:spacing w:lineRule="auto" w:line="276" w:before="0" w:after="120"/>
        <w:ind w:left="469" w:hanging="360"/>
        <w:contextualSpacing/>
        <w:jc w:val="both"/>
        <w:rPr>
          <w:rFonts w:ascii="Arial" w:hAnsi="Arial" w:cs="Arial"/>
          <w:sz w:val="15"/>
          <w:szCs w:val="15"/>
        </w:rPr>
      </w:pPr>
      <w:r>
        <w:rPr>
          <w:rFonts w:cs="Arial" w:ascii="Arial" w:hAnsi="Arial"/>
          <w:sz w:val="15"/>
          <w:szCs w:val="15"/>
        </w:rPr>
        <w:t>Lodówka,</w:t>
      </w:r>
    </w:p>
    <w:p>
      <w:pPr>
        <w:pStyle w:val="Normal"/>
        <w:numPr>
          <w:ilvl w:val="1"/>
          <w:numId w:val="9"/>
        </w:numPr>
        <w:spacing w:lineRule="auto" w:line="276" w:before="0" w:after="120"/>
        <w:ind w:left="469" w:hanging="360"/>
        <w:contextualSpacing/>
        <w:jc w:val="both"/>
        <w:rPr>
          <w:rFonts w:ascii="Arial" w:hAnsi="Arial" w:cs="Arial"/>
          <w:sz w:val="15"/>
          <w:szCs w:val="15"/>
        </w:rPr>
      </w:pPr>
      <w:r>
        <w:rPr>
          <w:rFonts w:cs="Arial" w:ascii="Arial" w:hAnsi="Arial"/>
          <w:sz w:val="15"/>
          <w:szCs w:val="15"/>
        </w:rPr>
        <w:t>Serwety, folie-papierowe, podkłady celulozowe,</w:t>
      </w:r>
    </w:p>
    <w:p>
      <w:pPr>
        <w:pStyle w:val="Normal"/>
        <w:numPr>
          <w:ilvl w:val="1"/>
          <w:numId w:val="9"/>
        </w:numPr>
        <w:spacing w:lineRule="auto" w:line="276" w:before="0" w:after="120"/>
        <w:ind w:left="469" w:hanging="360"/>
        <w:contextualSpacing/>
        <w:jc w:val="both"/>
        <w:rPr>
          <w:rFonts w:ascii="Arial" w:hAnsi="Arial" w:cs="Arial"/>
          <w:sz w:val="15"/>
          <w:szCs w:val="15"/>
        </w:rPr>
      </w:pPr>
      <w:r>
        <w:rPr>
          <w:rFonts w:cs="Arial" w:ascii="Arial" w:hAnsi="Arial"/>
          <w:sz w:val="15"/>
          <w:szCs w:val="15"/>
        </w:rPr>
        <w:t>Preparaty do dezynfekcji ran,</w:t>
      </w:r>
    </w:p>
    <w:p>
      <w:pPr>
        <w:pStyle w:val="Normal"/>
        <w:numPr>
          <w:ilvl w:val="1"/>
          <w:numId w:val="9"/>
        </w:numPr>
        <w:spacing w:lineRule="auto" w:line="276" w:before="0" w:after="120"/>
        <w:ind w:left="469" w:hanging="360"/>
        <w:contextualSpacing/>
        <w:jc w:val="both"/>
        <w:rPr>
          <w:rFonts w:ascii="Arial" w:hAnsi="Arial" w:cs="Arial"/>
          <w:sz w:val="15"/>
          <w:szCs w:val="15"/>
        </w:rPr>
      </w:pPr>
      <w:r>
        <w:rPr>
          <w:rFonts w:cs="Arial" w:ascii="Arial" w:hAnsi="Arial"/>
          <w:sz w:val="15"/>
          <w:szCs w:val="15"/>
        </w:rPr>
        <w:t>Model anatomiczny stopy lub tablice edukacyjne,</w:t>
      </w:r>
    </w:p>
    <w:p>
      <w:pPr>
        <w:pStyle w:val="Normal"/>
        <w:numPr>
          <w:ilvl w:val="1"/>
          <w:numId w:val="9"/>
        </w:numPr>
        <w:spacing w:lineRule="auto" w:line="276" w:before="0" w:after="120"/>
        <w:ind w:left="469" w:hanging="360"/>
        <w:contextualSpacing/>
        <w:jc w:val="both"/>
        <w:rPr>
          <w:rFonts w:ascii="Arial" w:hAnsi="Arial" w:cs="Arial"/>
          <w:sz w:val="15"/>
          <w:szCs w:val="15"/>
        </w:rPr>
      </w:pPr>
      <w:r>
        <w:rPr>
          <w:rFonts w:cs="Arial" w:ascii="Arial" w:hAnsi="Arial"/>
          <w:sz w:val="15"/>
          <w:szCs w:val="15"/>
        </w:rPr>
        <w:t>Tablica lub flipchart plus kreda, pisaki.</w:t>
      </w:r>
    </w:p>
    <w:p>
      <w:pPr>
        <w:pStyle w:val="Normal"/>
        <w:spacing w:before="0" w:after="120"/>
        <w:ind w:left="469" w:hanging="0"/>
        <w:contextualSpacing/>
        <w:jc w:val="both"/>
        <w:rPr>
          <w:rFonts w:ascii="Arial" w:hAnsi="Arial" w:cs="Arial"/>
          <w:sz w:val="15"/>
          <w:szCs w:val="15"/>
        </w:rPr>
      </w:pPr>
      <w:r>
        <w:rPr>
          <w:rFonts w:cs="Arial" w:ascii="Arial" w:hAnsi="Arial"/>
          <w:sz w:val="15"/>
          <w:szCs w:val="15"/>
        </w:rPr>
      </w:r>
    </w:p>
    <w:p>
      <w:pPr>
        <w:pStyle w:val="Normal"/>
        <w:numPr>
          <w:ilvl w:val="0"/>
          <w:numId w:val="4"/>
        </w:numPr>
        <w:spacing w:lineRule="auto" w:line="276" w:before="0" w:after="120"/>
        <w:ind w:left="327" w:hanging="284"/>
        <w:contextualSpacing/>
        <w:jc w:val="both"/>
        <w:rPr>
          <w:rFonts w:ascii="Arial" w:hAnsi="Arial" w:cs="Arial"/>
          <w:sz w:val="15"/>
          <w:szCs w:val="15"/>
          <w:u w:val="single"/>
        </w:rPr>
      </w:pPr>
      <w:r>
        <w:rPr>
          <w:rFonts w:cs="Arial" w:ascii="Arial" w:hAnsi="Arial"/>
          <w:sz w:val="15"/>
          <w:szCs w:val="15"/>
          <w:u w:val="single"/>
        </w:rPr>
        <w:t xml:space="preserve">Etap identyfikowania i dokumentowania </w:t>
      </w:r>
    </w:p>
    <w:p>
      <w:pPr>
        <w:pStyle w:val="Normal"/>
        <w:spacing w:before="0" w:after="120"/>
        <w:ind w:left="43" w:hanging="0"/>
        <w:contextualSpacing/>
        <w:jc w:val="both"/>
        <w:rPr>
          <w:rFonts w:ascii="Arial" w:hAnsi="Arial" w:cs="Arial"/>
          <w:sz w:val="15"/>
          <w:szCs w:val="15"/>
          <w:u w:val="single"/>
        </w:rPr>
      </w:pPr>
      <w:r>
        <w:rPr>
          <w:rFonts w:cs="Arial" w:ascii="Arial" w:hAnsi="Arial"/>
          <w:sz w:val="15"/>
          <w:szCs w:val="15"/>
          <w:u w:val="single"/>
        </w:rPr>
      </w:r>
    </w:p>
    <w:p>
      <w:pPr>
        <w:pStyle w:val="Normal"/>
        <w:numPr>
          <w:ilvl w:val="1"/>
          <w:numId w:val="10"/>
        </w:numPr>
        <w:spacing w:lineRule="auto" w:line="276" w:before="0" w:after="120"/>
        <w:contextualSpacing/>
        <w:jc w:val="both"/>
        <w:rPr>
          <w:rFonts w:ascii="Arial" w:hAnsi="Arial" w:cs="Arial"/>
          <w:sz w:val="15"/>
          <w:szCs w:val="15"/>
          <w:u w:val="single"/>
        </w:rPr>
      </w:pPr>
      <w:r>
        <w:rPr>
          <w:rFonts w:cs="Arial" w:ascii="Arial" w:hAnsi="Arial"/>
          <w:sz w:val="15"/>
          <w:szCs w:val="15"/>
          <w:u w:val="single"/>
        </w:rPr>
        <w:t xml:space="preserve">Metody Analiza dowodów i deklaracji </w:t>
      </w:r>
    </w:p>
    <w:p>
      <w:pPr>
        <w:pStyle w:val="Normal"/>
        <w:spacing w:before="0" w:after="120"/>
        <w:contextualSpacing/>
        <w:jc w:val="both"/>
        <w:rPr>
          <w:rFonts w:ascii="Arial" w:hAnsi="Arial" w:cs="Arial"/>
          <w:sz w:val="15"/>
          <w:szCs w:val="15"/>
        </w:rPr>
      </w:pPr>
      <w:r>
        <w:rPr>
          <w:rFonts w:cs="Arial" w:ascii="Arial" w:hAnsi="Arial"/>
          <w:sz w:val="15"/>
          <w:szCs w:val="15"/>
        </w:rPr>
        <w:t xml:space="preserve">Zestawy efektów uczenia 01,02,03 mogą być sprawdzone i potwierdzone na podstawie analizy dowodów i deklaracji. </w:t>
      </w:r>
    </w:p>
    <w:p>
      <w:pPr>
        <w:pStyle w:val="Normal"/>
        <w:spacing w:before="0" w:after="120"/>
        <w:contextualSpacing/>
        <w:jc w:val="both"/>
        <w:rPr>
          <w:rFonts w:ascii="Arial" w:hAnsi="Arial" w:cs="Arial"/>
          <w:sz w:val="15"/>
          <w:szCs w:val="15"/>
        </w:rPr>
      </w:pPr>
      <w:r>
        <w:rPr>
          <w:rFonts w:cs="Arial" w:ascii="Arial" w:hAnsi="Arial"/>
          <w:sz w:val="15"/>
          <w:szCs w:val="15"/>
        </w:rPr>
        <w:t xml:space="preserve">Dopuszczalnymi dokumentami potwierdzającymi efekty uczenia się są: dyplomy, certyfikaty, suplementy do dyplomów, zaświadczenia, konspekty, sylabusy z jednostek kształcenia ustawicznego, uczelni wyższych. Identyfikowanie może odbywać się samodzielnie </w:t>
        <w:br/>
        <w:t>lub z doradcą walidacyjnym. Instytucja certyfikująca może zapewnić doradcę walidacyjnego.</w:t>
      </w:r>
    </w:p>
    <w:p>
      <w:pPr>
        <w:pStyle w:val="Normal"/>
        <w:spacing w:before="0" w:after="120"/>
        <w:contextualSpacing/>
        <w:jc w:val="both"/>
        <w:rPr>
          <w:rFonts w:ascii="Arial" w:hAnsi="Arial" w:cs="Arial"/>
          <w:sz w:val="15"/>
          <w:szCs w:val="15"/>
        </w:rPr>
      </w:pPr>
      <w:r>
        <w:rPr>
          <w:rFonts w:cs="Arial" w:ascii="Arial" w:hAnsi="Arial"/>
          <w:sz w:val="15"/>
          <w:szCs w:val="15"/>
        </w:rPr>
      </w:r>
    </w:p>
    <w:p>
      <w:pPr>
        <w:pStyle w:val="Normal"/>
        <w:numPr>
          <w:ilvl w:val="1"/>
          <w:numId w:val="10"/>
        </w:numPr>
        <w:spacing w:lineRule="auto" w:line="276" w:before="0" w:after="120"/>
        <w:contextualSpacing/>
        <w:jc w:val="both"/>
        <w:rPr>
          <w:rFonts w:ascii="Arial" w:hAnsi="Arial" w:cs="Arial"/>
          <w:sz w:val="15"/>
          <w:szCs w:val="15"/>
          <w:u w:val="single"/>
        </w:rPr>
      </w:pPr>
      <w:r>
        <w:rPr>
          <w:rFonts w:cs="Arial" w:ascii="Arial" w:hAnsi="Arial"/>
          <w:sz w:val="15"/>
          <w:szCs w:val="15"/>
          <w:u w:val="single"/>
        </w:rPr>
        <w:t xml:space="preserve">Zasoby kadrowe </w:t>
      </w:r>
    </w:p>
    <w:p>
      <w:pPr>
        <w:pStyle w:val="Normal"/>
        <w:spacing w:before="0" w:after="120"/>
        <w:contextualSpacing/>
        <w:jc w:val="both"/>
        <w:rPr>
          <w:rFonts w:ascii="Arial" w:hAnsi="Arial" w:cs="Arial"/>
          <w:sz w:val="15"/>
          <w:szCs w:val="15"/>
        </w:rPr>
      </w:pPr>
      <w:r>
        <w:rPr>
          <w:rFonts w:cs="Arial" w:ascii="Arial" w:hAnsi="Arial"/>
          <w:sz w:val="15"/>
          <w:szCs w:val="15"/>
        </w:rPr>
        <w:t xml:space="preserve">Doradca walidacyjny posiada następujące kompetencje: </w:t>
      </w:r>
    </w:p>
    <w:p>
      <w:pPr>
        <w:pStyle w:val="Normal"/>
        <w:numPr>
          <w:ilvl w:val="0"/>
          <w:numId w:val="11"/>
        </w:numPr>
        <w:spacing w:lineRule="auto" w:line="276" w:before="0" w:after="120"/>
        <w:ind w:left="469" w:hanging="360"/>
        <w:contextualSpacing/>
        <w:jc w:val="both"/>
        <w:rPr>
          <w:rFonts w:ascii="Arial" w:hAnsi="Arial" w:cs="Arial"/>
          <w:sz w:val="15"/>
          <w:szCs w:val="15"/>
        </w:rPr>
      </w:pPr>
      <w:r>
        <w:rPr>
          <w:rFonts w:cs="Arial" w:ascii="Arial" w:hAnsi="Arial"/>
          <w:sz w:val="15"/>
          <w:szCs w:val="15"/>
        </w:rPr>
        <w:t xml:space="preserve">wykształcenie wyższe na poziomie 6 PRK; </w:t>
      </w:r>
    </w:p>
    <w:p>
      <w:pPr>
        <w:pStyle w:val="Normal"/>
        <w:numPr>
          <w:ilvl w:val="0"/>
          <w:numId w:val="11"/>
        </w:numPr>
        <w:spacing w:lineRule="auto" w:line="276" w:before="0" w:after="120"/>
        <w:ind w:left="469" w:hanging="360"/>
        <w:contextualSpacing/>
        <w:jc w:val="both"/>
        <w:rPr>
          <w:rFonts w:ascii="Arial" w:hAnsi="Arial" w:cs="Arial"/>
          <w:sz w:val="15"/>
          <w:szCs w:val="15"/>
        </w:rPr>
      </w:pPr>
      <w:r>
        <w:rPr>
          <w:rFonts w:cs="Arial" w:ascii="Arial" w:hAnsi="Arial"/>
          <w:sz w:val="15"/>
          <w:szCs w:val="15"/>
        </w:rPr>
        <w:t xml:space="preserve">wiedzę w zakresie znajomości branży podologicznej; </w:t>
      </w:r>
    </w:p>
    <w:p>
      <w:pPr>
        <w:pStyle w:val="Normal"/>
        <w:numPr>
          <w:ilvl w:val="0"/>
          <w:numId w:val="11"/>
        </w:numPr>
        <w:spacing w:lineRule="auto" w:line="276" w:before="0" w:after="120"/>
        <w:ind w:left="469" w:hanging="360"/>
        <w:contextualSpacing/>
        <w:jc w:val="both"/>
        <w:rPr>
          <w:rFonts w:ascii="Arial" w:hAnsi="Arial" w:cs="Arial"/>
          <w:sz w:val="15"/>
          <w:szCs w:val="15"/>
        </w:rPr>
      </w:pPr>
      <w:r>
        <w:rPr>
          <w:rFonts w:cs="Arial" w:ascii="Arial" w:hAnsi="Arial"/>
          <w:sz w:val="15"/>
          <w:szCs w:val="15"/>
        </w:rPr>
        <w:t xml:space="preserve">znajomość efektów uczenia się w kwalifikacji; </w:t>
      </w:r>
    </w:p>
    <w:p>
      <w:pPr>
        <w:pStyle w:val="Normal"/>
        <w:numPr>
          <w:ilvl w:val="0"/>
          <w:numId w:val="11"/>
        </w:numPr>
        <w:spacing w:lineRule="auto" w:line="276" w:before="0" w:after="120"/>
        <w:ind w:left="469" w:hanging="360"/>
        <w:contextualSpacing/>
        <w:jc w:val="both"/>
        <w:rPr>
          <w:rFonts w:ascii="Arial" w:hAnsi="Arial" w:cs="Arial"/>
          <w:sz w:val="15"/>
          <w:szCs w:val="15"/>
        </w:rPr>
      </w:pPr>
      <w:r>
        <w:rPr>
          <w:rFonts w:cs="Arial" w:ascii="Arial" w:hAnsi="Arial"/>
          <w:sz w:val="15"/>
          <w:szCs w:val="15"/>
        </w:rPr>
        <w:t xml:space="preserve">znajomość rodzajów dowodów do załączenia na potrzeby walidacji; </w:t>
      </w:r>
    </w:p>
    <w:p>
      <w:pPr>
        <w:pStyle w:val="Normal"/>
        <w:numPr>
          <w:ilvl w:val="0"/>
          <w:numId w:val="11"/>
        </w:numPr>
        <w:spacing w:lineRule="auto" w:line="276" w:before="0" w:after="120"/>
        <w:ind w:left="469" w:hanging="360"/>
        <w:contextualSpacing/>
        <w:jc w:val="both"/>
        <w:rPr>
          <w:rFonts w:ascii="Arial" w:hAnsi="Arial" w:cs="Arial"/>
          <w:sz w:val="15"/>
          <w:szCs w:val="15"/>
        </w:rPr>
      </w:pPr>
      <w:r>
        <w:rPr>
          <w:rFonts w:cs="Arial" w:ascii="Arial" w:hAnsi="Arial"/>
          <w:sz w:val="15"/>
          <w:szCs w:val="15"/>
        </w:rPr>
        <w:t xml:space="preserve">umiejętność prowadzenia wywiadu; </w:t>
      </w:r>
    </w:p>
    <w:p>
      <w:pPr>
        <w:pStyle w:val="Normal"/>
        <w:numPr>
          <w:ilvl w:val="0"/>
          <w:numId w:val="11"/>
        </w:numPr>
        <w:spacing w:lineRule="auto" w:line="276" w:before="0" w:after="120"/>
        <w:ind w:left="469" w:hanging="360"/>
        <w:contextualSpacing/>
        <w:jc w:val="both"/>
        <w:rPr>
          <w:rFonts w:ascii="Arial" w:hAnsi="Arial" w:cs="Arial"/>
          <w:sz w:val="15"/>
          <w:szCs w:val="15"/>
        </w:rPr>
      </w:pPr>
      <w:r>
        <w:rPr>
          <w:rFonts w:cs="Arial" w:ascii="Arial" w:hAnsi="Arial"/>
          <w:sz w:val="15"/>
          <w:szCs w:val="15"/>
        </w:rPr>
        <w:t xml:space="preserve">wiedzę na temat instytucji kształcących i certyfikujących oraz instytucji rynku pracy i oferowanych przez nie usług w obszarze kwalifikacji. </w:t>
      </w:r>
    </w:p>
    <w:p>
      <w:pPr>
        <w:pStyle w:val="Normal"/>
        <w:spacing w:lineRule="auto" w:line="276" w:before="0" w:after="120"/>
        <w:ind w:left="469" w:hanging="0"/>
        <w:contextualSpacing/>
        <w:jc w:val="both"/>
        <w:rPr>
          <w:rFonts w:ascii="Arial" w:hAnsi="Arial" w:cs="Arial"/>
          <w:sz w:val="15"/>
          <w:szCs w:val="15"/>
        </w:rPr>
      </w:pPr>
      <w:r>
        <w:rPr>
          <w:rFonts w:cs="Arial" w:ascii="Arial" w:hAnsi="Arial"/>
          <w:sz w:val="15"/>
          <w:szCs w:val="15"/>
        </w:rPr>
      </w:r>
    </w:p>
    <w:p>
      <w:pPr>
        <w:pStyle w:val="Normal"/>
        <w:spacing w:before="0" w:after="120"/>
        <w:contextualSpacing/>
        <w:jc w:val="both"/>
        <w:rPr>
          <w:rFonts w:ascii="Arial" w:hAnsi="Arial" w:cs="Arial"/>
          <w:sz w:val="15"/>
          <w:szCs w:val="15"/>
        </w:rPr>
      </w:pPr>
      <w:r>
        <w:rPr>
          <w:rFonts w:cs="Arial" w:ascii="Arial" w:hAnsi="Arial"/>
          <w:sz w:val="15"/>
          <w:szCs w:val="15"/>
        </w:rPr>
        <w:t xml:space="preserve">2.3 </w:t>
      </w:r>
      <w:r>
        <w:rPr>
          <w:rFonts w:cs="Arial" w:ascii="Arial" w:hAnsi="Arial"/>
          <w:sz w:val="15"/>
          <w:szCs w:val="15"/>
          <w:u w:val="single"/>
        </w:rPr>
        <w:t>Warunki organizacyjne i materialne</w:t>
      </w:r>
      <w:r>
        <w:rPr>
          <w:rFonts w:cs="Arial" w:ascii="Arial" w:hAnsi="Arial"/>
          <w:sz w:val="15"/>
          <w:szCs w:val="15"/>
        </w:rPr>
        <w:t xml:space="preserve"> </w:t>
      </w:r>
    </w:p>
    <w:p>
      <w:pPr>
        <w:pStyle w:val="Normal"/>
        <w:spacing w:before="0" w:after="120"/>
        <w:contextualSpacing/>
        <w:jc w:val="both"/>
        <w:rPr>
          <w:rFonts w:ascii="Arial" w:hAnsi="Arial" w:cs="Arial"/>
          <w:sz w:val="15"/>
          <w:szCs w:val="15"/>
        </w:rPr>
      </w:pPr>
      <w:r>
        <w:rPr>
          <w:rFonts w:cs="Arial" w:ascii="Arial" w:hAnsi="Arial"/>
          <w:sz w:val="15"/>
          <w:szCs w:val="15"/>
        </w:rPr>
        <w:t>Instytucja Certyfikująca zapewnia odpowiednie warunki do pracy doradcy z kandydatem.</w:t>
      </w:r>
    </w:p>
    <w:p>
      <w:pPr>
        <w:pStyle w:val="Nagwek4"/>
        <w:rPr>
          <w:rFonts w:ascii="Arial" w:hAnsi="Arial" w:eastAsia="Times New Roman" w:cs="Arial"/>
        </w:rPr>
      </w:pPr>
      <w:r>
        <w:rPr>
          <w:rFonts w:eastAsia="Times New Roman" w:cs="Arial" w:ascii="Arial" w:hAnsi="Arial"/>
        </w:rPr>
        <w:t>Propozycja odniesienia do poziomu sektorowych ram kwalifikacji (o ile dotyczy)</w:t>
      </w:r>
    </w:p>
    <w:p>
      <w:pPr>
        <w:pStyle w:val="NormalWeb"/>
        <w:rPr>
          <w:rFonts w:ascii="Arial" w:hAnsi="Arial" w:cs="Arial"/>
          <w:sz w:val="15"/>
          <w:szCs w:val="15"/>
        </w:rPr>
      </w:pPr>
      <w:r>
        <w:rPr>
          <w:rFonts w:cs="Arial" w:ascii="Arial" w:hAnsi="Arial"/>
          <w:sz w:val="15"/>
          <w:szCs w:val="15"/>
        </w:rPr>
        <w:t xml:space="preserve">brak </w:t>
      </w:r>
    </w:p>
    <w:p>
      <w:pPr>
        <w:pStyle w:val="Nagwek4"/>
        <w:rPr>
          <w:rFonts w:ascii="Arial" w:hAnsi="Arial" w:eastAsia="Times New Roman" w:cs="Arial"/>
        </w:rPr>
      </w:pPr>
      <w:r>
        <w:rPr>
          <w:rFonts w:eastAsia="Times New Roman" w:cs="Arial" w:ascii="Arial" w:hAnsi="Arial"/>
        </w:rPr>
        <w:t>Syntetyczna charakterystyka efektów uczenia się</w:t>
      </w:r>
    </w:p>
    <w:p>
      <w:pPr>
        <w:pStyle w:val="NormalWeb"/>
        <w:jc w:val="both"/>
        <w:rPr>
          <w:rFonts w:ascii="Arial" w:hAnsi="Arial" w:cs="Arial"/>
          <w:sz w:val="15"/>
          <w:szCs w:val="15"/>
        </w:rPr>
      </w:pPr>
      <w:r>
        <w:rPr>
          <w:rFonts w:cs="Arial" w:ascii="Arial" w:hAnsi="Arial"/>
          <w:sz w:val="15"/>
          <w:szCs w:val="15"/>
        </w:rPr>
        <w:t xml:space="preserve">Osoba posiadająca kwalifikację “Wykonywanie zadań w zakresie profilaktyki i terapii zmian patologicznych w obrębie stóp w ramach praktyki podologicznej” posiada wiedzę na temat pojęć medycznych wykorzystywanych w praktyce podologicznej. Stosuje się </w:t>
        <w:br/>
        <w:t xml:space="preserve">do wymogów prawnych oraz higieny i bezpieczeństwa pracy w gabinecie podologicznym i praktyce podologicznej. Rozpoznaje stan klienta w obszarze zmian patologicznych w obrębie stóp, przygotowuje zalecenia pozabiegowe, edukuje klienta i jego otoczenie. Samodzielnie dobiera narzędzia i wykonuje zabiegi podologiczne na skórze, paznokciu lub kieruje do specjalisty. Wykonuje odciążenia i ortozy, pobiera materiał do badań oraz zabezpiecza patologiczne zmiany w obrębie stóp. Przyjmuje odpowiedzialność związaną z działalnością zawodową oraz wspiera rozwój środowiska podologicznego w Polsce. </w:t>
      </w:r>
    </w:p>
    <w:p>
      <w:pPr>
        <w:pStyle w:val="Nagwek4"/>
        <w:rPr>
          <w:rFonts w:ascii="Arial" w:hAnsi="Arial" w:eastAsia="Times New Roman" w:cs="Arial"/>
        </w:rPr>
      </w:pPr>
      <w:r>
        <w:rPr>
          <w:rFonts w:eastAsia="Times New Roman" w:cs="Arial" w:ascii="Arial" w:hAnsi="Arial"/>
        </w:rPr>
        <w:t>Zestawy efektów uczenia się</w:t>
      </w:r>
    </w:p>
    <w:p>
      <w:pPr>
        <w:pStyle w:val="Normal"/>
        <w:jc w:val="both"/>
        <w:rPr>
          <w:rFonts w:ascii="Arial" w:hAnsi="Arial" w:cs="Arial"/>
          <w:sz w:val="15"/>
          <w:szCs w:val="15"/>
        </w:rPr>
      </w:pPr>
      <w:r>
        <w:rPr>
          <w:rFonts w:cs="Arial" w:ascii="Arial" w:hAnsi="Arial"/>
          <w:sz w:val="15"/>
          <w:szCs w:val="15"/>
        </w:rPr>
        <w:t>Charakteryzowanie pojęć stosowanych w rozpoznaniu profilaktyce i terapii zmian patologicznych w obrębie stóp. (4 PRK, 280h)</w:t>
      </w:r>
    </w:p>
    <w:p>
      <w:pPr>
        <w:pStyle w:val="Normal"/>
        <w:jc w:val="both"/>
        <w:rPr>
          <w:rFonts w:ascii="Arial" w:hAnsi="Arial" w:cs="Arial"/>
          <w:sz w:val="15"/>
          <w:szCs w:val="15"/>
        </w:rPr>
      </w:pPr>
      <w:r>
        <w:rPr>
          <w:rFonts w:cs="Arial" w:ascii="Arial" w:hAnsi="Arial"/>
          <w:sz w:val="15"/>
          <w:szCs w:val="15"/>
        </w:rPr>
        <w:t>Charakteryzowanie aspektów prawnych, etyka i rozwój zawodowy. (5 PRK, 50h)</w:t>
      </w:r>
    </w:p>
    <w:p>
      <w:pPr>
        <w:pStyle w:val="Normal"/>
        <w:jc w:val="both"/>
        <w:rPr>
          <w:rFonts w:ascii="Arial" w:hAnsi="Arial" w:cs="Arial"/>
          <w:sz w:val="15"/>
          <w:szCs w:val="15"/>
        </w:rPr>
      </w:pPr>
      <w:r>
        <w:rPr>
          <w:rFonts w:cs="Arial" w:ascii="Arial" w:hAnsi="Arial"/>
          <w:sz w:val="15"/>
          <w:szCs w:val="15"/>
        </w:rPr>
        <w:t>Charakteryzowanie higieny i bezpieczeństwa pracy w gabinecie podologicznym. (5 PRK, 50h)</w:t>
      </w:r>
    </w:p>
    <w:p>
      <w:pPr>
        <w:pStyle w:val="Normal"/>
        <w:jc w:val="both"/>
        <w:rPr>
          <w:rFonts w:ascii="Arial" w:hAnsi="Arial" w:cs="Arial"/>
          <w:sz w:val="15"/>
          <w:szCs w:val="15"/>
        </w:rPr>
      </w:pPr>
      <w:r>
        <w:rPr>
          <w:rFonts w:cs="Arial" w:ascii="Arial" w:hAnsi="Arial"/>
          <w:sz w:val="15"/>
          <w:szCs w:val="15"/>
        </w:rPr>
        <w:t>Rozpoznawanie stanu zdrowia klienta w obszarze zmian patologicznych w obrębie stóp. (5 PRK, 180h)</w:t>
      </w:r>
    </w:p>
    <w:p>
      <w:pPr>
        <w:pStyle w:val="Normal"/>
        <w:jc w:val="both"/>
        <w:rPr>
          <w:rFonts w:ascii="Arial" w:hAnsi="Arial" w:cs="Arial"/>
          <w:sz w:val="15"/>
          <w:szCs w:val="15"/>
        </w:rPr>
      </w:pPr>
      <w:r>
        <w:rPr>
          <w:rFonts w:cs="Arial" w:ascii="Arial" w:hAnsi="Arial"/>
          <w:sz w:val="15"/>
          <w:szCs w:val="15"/>
        </w:rPr>
        <w:t>Przeprowadzanie zabiegów podologicznych. (5 PRK, 1000h)</w:t>
      </w:r>
    </w:p>
    <w:p>
      <w:pPr>
        <w:pStyle w:val="Normal"/>
        <w:jc w:val="both"/>
        <w:rPr>
          <w:rFonts w:ascii="Arial" w:hAnsi="Arial" w:cs="Arial"/>
          <w:sz w:val="15"/>
          <w:szCs w:val="15"/>
        </w:rPr>
      </w:pPr>
      <w:r>
        <w:rPr>
          <w:rFonts w:cs="Arial" w:ascii="Arial" w:hAnsi="Arial"/>
          <w:sz w:val="15"/>
          <w:szCs w:val="15"/>
        </w:rPr>
        <w:t>Postępowanie pozabiegowe. (5 PRK, 140h)</w:t>
      </w:r>
    </w:p>
    <w:p>
      <w:pPr>
        <w:pStyle w:val="Nagwek3"/>
        <w:rPr>
          <w:rFonts w:ascii="Arial" w:hAnsi="Arial" w:eastAsia="Times New Roman" w:cs="Arial"/>
        </w:rPr>
      </w:pPr>
      <w:r>
        <w:rPr>
          <w:rFonts w:eastAsia="Times New Roman" w:cs="Arial" w:ascii="Arial" w:hAnsi="Arial"/>
        </w:rPr>
        <w:t>Zestaw</w:t>
      </w:r>
    </w:p>
    <w:p>
      <w:pPr>
        <w:pStyle w:val="Nagwek4"/>
        <w:rPr>
          <w:rFonts w:ascii="Arial" w:hAnsi="Arial" w:eastAsia="Times New Roman" w:cs="Arial"/>
        </w:rPr>
      </w:pPr>
      <w:r>
        <w:rPr>
          <w:rFonts w:eastAsia="Times New Roman" w:cs="Arial" w:ascii="Arial" w:hAnsi="Arial"/>
        </w:rPr>
        <w:t>Numer zestawu w kwalifikacji</w:t>
      </w:r>
    </w:p>
    <w:p>
      <w:pPr>
        <w:pStyle w:val="Normal"/>
        <w:rPr>
          <w:rFonts w:ascii="Arial" w:hAnsi="Arial" w:eastAsia="Times New Roman" w:cs="Arial"/>
          <w:sz w:val="15"/>
          <w:szCs w:val="15"/>
        </w:rPr>
      </w:pPr>
      <w:r>
        <w:rPr>
          <w:rFonts w:eastAsia="Times New Roman" w:cs="Arial" w:ascii="Arial" w:hAnsi="Arial"/>
          <w:sz w:val="15"/>
          <w:szCs w:val="15"/>
        </w:rPr>
        <w:t>1</w:t>
      </w:r>
    </w:p>
    <w:p>
      <w:pPr>
        <w:pStyle w:val="Nagwek4"/>
        <w:rPr>
          <w:rFonts w:ascii="Arial" w:hAnsi="Arial" w:eastAsia="Times New Roman" w:cs="Arial"/>
        </w:rPr>
      </w:pPr>
      <w:r>
        <w:rPr>
          <w:rFonts w:eastAsia="Times New Roman" w:cs="Arial" w:ascii="Arial" w:hAnsi="Arial"/>
        </w:rPr>
        <w:t>Nazwa zestawu</w:t>
      </w:r>
    </w:p>
    <w:p>
      <w:pPr>
        <w:pStyle w:val="Nagwek4"/>
        <w:rPr>
          <w:rFonts w:ascii="Arial" w:hAnsi="Arial" w:eastAsia="Times New Roman" w:cs="Arial"/>
          <w:sz w:val="15"/>
          <w:szCs w:val="15"/>
        </w:rPr>
      </w:pPr>
      <w:r>
        <w:rPr>
          <w:rFonts w:cs="Arial" w:ascii="Arial" w:hAnsi="Arial"/>
          <w:b w:val="false"/>
          <w:sz w:val="15"/>
          <w:szCs w:val="15"/>
        </w:rPr>
        <w:t>Charakteryzowanie pojęć stosowanych w rozpoznaniu profilaktyce i terapii zmian patologicznych w obrębie stóp</w:t>
      </w:r>
      <w:r>
        <w:rPr>
          <w:rFonts w:eastAsia="Times New Roman" w:cs="Arial" w:ascii="Arial" w:hAnsi="Arial"/>
          <w:sz w:val="15"/>
          <w:szCs w:val="15"/>
        </w:rPr>
        <w:t xml:space="preserve"> </w:t>
      </w:r>
    </w:p>
    <w:p>
      <w:pPr>
        <w:pStyle w:val="Nagwek4"/>
        <w:rPr>
          <w:rFonts w:ascii="Arial" w:hAnsi="Arial" w:eastAsia="Times New Roman" w:cs="Arial"/>
        </w:rPr>
      </w:pPr>
      <w:r>
        <w:rPr>
          <w:rFonts w:eastAsia="Times New Roman" w:cs="Arial" w:ascii="Arial" w:hAnsi="Arial"/>
        </w:rPr>
        <w:t>Poziom PRK</w:t>
      </w:r>
    </w:p>
    <w:p>
      <w:pPr>
        <w:pStyle w:val="Normal"/>
        <w:rPr>
          <w:rFonts w:ascii="Arial" w:hAnsi="Arial" w:eastAsia="Times New Roman" w:cs="Arial"/>
          <w:sz w:val="15"/>
          <w:szCs w:val="15"/>
        </w:rPr>
      </w:pPr>
      <w:r>
        <w:rPr>
          <w:rFonts w:eastAsia="Times New Roman" w:cs="Arial" w:ascii="Arial" w:hAnsi="Arial"/>
          <w:sz w:val="15"/>
          <w:szCs w:val="15"/>
        </w:rPr>
        <w:t>4</w:t>
      </w:r>
    </w:p>
    <w:p>
      <w:pPr>
        <w:pStyle w:val="Nagwek4"/>
        <w:rPr>
          <w:rFonts w:ascii="Arial" w:hAnsi="Arial" w:eastAsia="Times New Roman" w:cs="Arial"/>
        </w:rPr>
      </w:pPr>
      <w:r>
        <w:rPr>
          <w:rFonts w:eastAsia="Times New Roman" w:cs="Arial" w:ascii="Arial" w:hAnsi="Arial"/>
        </w:rPr>
        <w:t>Orientacyjny nakład pracy [godz]</w:t>
      </w:r>
    </w:p>
    <w:p>
      <w:pPr>
        <w:pStyle w:val="Normal"/>
        <w:rPr>
          <w:rFonts w:ascii="Arial" w:hAnsi="Arial" w:eastAsia="Times New Roman" w:cs="Arial"/>
          <w:sz w:val="15"/>
          <w:szCs w:val="15"/>
        </w:rPr>
      </w:pPr>
      <w:r>
        <w:rPr>
          <w:rFonts w:eastAsia="Times New Roman" w:cs="Arial" w:ascii="Arial" w:hAnsi="Arial"/>
          <w:sz w:val="15"/>
          <w:szCs w:val="15"/>
        </w:rPr>
        <w:t>280</w:t>
      </w:r>
    </w:p>
    <w:p>
      <w:pPr>
        <w:pStyle w:val="Nagwek4"/>
        <w:rPr>
          <w:rFonts w:ascii="Arial" w:hAnsi="Arial" w:eastAsia="Times New Roman" w:cs="Arial"/>
        </w:rPr>
      </w:pPr>
      <w:r>
        <w:rPr>
          <w:rFonts w:eastAsia="Times New Roman" w:cs="Arial" w:ascii="Arial" w:hAnsi="Arial"/>
        </w:rPr>
        <w:t>Rodzaj zestawu</w:t>
      </w:r>
    </w:p>
    <w:p>
      <w:pPr>
        <w:pStyle w:val="Normal"/>
        <w:rPr>
          <w:rFonts w:ascii="Arial" w:hAnsi="Arial" w:eastAsia="Times New Roman" w:cs="Arial"/>
          <w:sz w:val="15"/>
          <w:szCs w:val="15"/>
        </w:rPr>
      </w:pPr>
      <w:r>
        <w:rPr>
          <w:rFonts w:eastAsia="Times New Roman" w:cs="Arial" w:ascii="Arial" w:hAnsi="Arial"/>
          <w:sz w:val="15"/>
          <w:szCs w:val="15"/>
        </w:rPr>
        <w:t>obowiązkowy</w:t>
      </w:r>
    </w:p>
    <w:p>
      <w:pPr>
        <w:pStyle w:val="Nagwek4"/>
        <w:rPr>
          <w:rFonts w:ascii="Arial" w:hAnsi="Arial" w:eastAsia="Times New Roman" w:cs="Arial"/>
        </w:rPr>
      </w:pPr>
      <w:r>
        <w:rPr>
          <w:rFonts w:eastAsia="Times New Roman" w:cs="Arial" w:ascii="Arial" w:hAnsi="Arial"/>
        </w:rPr>
        <w:t>Poszczególne efekty uczenia się oraz kryteria weryfikacji ich osiągnięcia</w:t>
      </w:r>
    </w:p>
    <w:p>
      <w:pPr>
        <w:pStyle w:val="Nagwek5"/>
        <w:rPr>
          <w:rFonts w:ascii="Arial" w:hAnsi="Arial" w:eastAsia="Times New Roman" w:cs="Arial"/>
        </w:rPr>
      </w:pPr>
      <w:r>
        <w:rPr>
          <w:rFonts w:eastAsia="Times New Roman" w:cs="Arial" w:ascii="Arial" w:hAnsi="Arial"/>
        </w:rPr>
        <w:t>Efekt uczenia</w:t>
      </w:r>
    </w:p>
    <w:p>
      <w:pPr>
        <w:pStyle w:val="Normal"/>
        <w:rPr>
          <w:rFonts w:ascii="Arial" w:hAnsi="Arial" w:eastAsia="Times New Roman" w:cs="Arial"/>
          <w:sz w:val="15"/>
          <w:szCs w:val="15"/>
        </w:rPr>
      </w:pPr>
      <w:r>
        <w:rPr>
          <w:rFonts w:eastAsia="Times New Roman" w:cs="Arial" w:ascii="Arial" w:hAnsi="Arial"/>
          <w:sz w:val="15"/>
          <w:szCs w:val="15"/>
        </w:rPr>
        <w:t xml:space="preserve">a) </w:t>
      </w:r>
      <w:r>
        <w:rPr>
          <w:rFonts w:cs="Arial" w:ascii="Arial" w:hAnsi="Arial"/>
          <w:sz w:val="15"/>
          <w:szCs w:val="15"/>
        </w:rPr>
        <w:t>Omawia historyczne uwarunkowania rozwoju podologii w Polsce i na świecie</w:t>
      </w:r>
    </w:p>
    <w:p>
      <w:pPr>
        <w:pStyle w:val="Nagwek5"/>
        <w:rPr>
          <w:rFonts w:ascii="Arial" w:hAnsi="Arial" w:eastAsia="Times New Roman" w:cs="Arial"/>
        </w:rPr>
      </w:pPr>
      <w:r>
        <w:rPr>
          <w:rFonts w:eastAsia="Times New Roman" w:cs="Arial" w:ascii="Arial" w:hAnsi="Arial"/>
        </w:rPr>
        <w:t>Kryteria weryfikacji</w:t>
      </w:r>
    </w:p>
    <w:p>
      <w:pPr>
        <w:pStyle w:val="Normalny2"/>
        <w:numPr>
          <w:ilvl w:val="0"/>
          <w:numId w:val="12"/>
        </w:numPr>
        <w:spacing w:before="0" w:after="120"/>
        <w:ind w:left="405" w:hanging="360"/>
        <w:contextualSpacing/>
        <w:rPr>
          <w:sz w:val="15"/>
          <w:szCs w:val="15"/>
        </w:rPr>
      </w:pPr>
      <w:r>
        <w:rPr>
          <w:sz w:val="15"/>
          <w:szCs w:val="15"/>
        </w:rPr>
        <w:t>omawia historię rozwoju podologii w Polsce i na świecie, uwzględniając instytucje i ośrodki zawodowe oraz sylwetki prekursorów podologii,</w:t>
      </w:r>
    </w:p>
    <w:p>
      <w:pPr>
        <w:pStyle w:val="Normalny2"/>
        <w:numPr>
          <w:ilvl w:val="0"/>
          <w:numId w:val="12"/>
        </w:numPr>
        <w:spacing w:before="0" w:after="120"/>
        <w:ind w:left="405" w:hanging="360"/>
        <w:contextualSpacing/>
        <w:rPr>
          <w:sz w:val="15"/>
          <w:szCs w:val="15"/>
        </w:rPr>
      </w:pPr>
      <w:r>
        <w:rPr>
          <w:sz w:val="15"/>
          <w:szCs w:val="15"/>
        </w:rPr>
        <w:t>omawia społeczno-kulturowe uwarunkowania powstania kształcenia i tożsamości polskiej podologii,</w:t>
      </w:r>
    </w:p>
    <w:p>
      <w:pPr>
        <w:pStyle w:val="Normalny2"/>
        <w:numPr>
          <w:ilvl w:val="0"/>
          <w:numId w:val="12"/>
        </w:numPr>
        <w:spacing w:before="0" w:after="120"/>
        <w:ind w:left="405" w:hanging="360"/>
        <w:contextualSpacing/>
        <w:rPr>
          <w:sz w:val="15"/>
          <w:szCs w:val="15"/>
        </w:rPr>
      </w:pPr>
      <w:r>
        <w:rPr>
          <w:sz w:val="15"/>
          <w:szCs w:val="15"/>
        </w:rPr>
        <w:t>wymienia współczesne problemy występujące w podologii w kontekście ochrony zdrowia.</w:t>
      </w:r>
    </w:p>
    <w:p>
      <w:pPr>
        <w:pStyle w:val="Nagwek5"/>
        <w:rPr>
          <w:rFonts w:ascii="Arial" w:hAnsi="Arial" w:eastAsia="Times New Roman" w:cs="Arial"/>
        </w:rPr>
      </w:pPr>
      <w:r>
        <w:rPr>
          <w:rFonts w:eastAsia="Times New Roman" w:cs="Arial" w:ascii="Arial" w:hAnsi="Arial"/>
        </w:rPr>
        <w:t>Efekt uczenia</w:t>
      </w:r>
    </w:p>
    <w:p>
      <w:pPr>
        <w:pStyle w:val="Normal"/>
        <w:rPr>
          <w:rFonts w:ascii="Arial" w:hAnsi="Arial" w:eastAsia="Times New Roman" w:cs="Arial"/>
          <w:sz w:val="15"/>
          <w:szCs w:val="15"/>
        </w:rPr>
      </w:pPr>
      <w:r>
        <w:rPr>
          <w:rFonts w:eastAsia="Times New Roman" w:cs="Arial" w:ascii="Arial" w:hAnsi="Arial"/>
          <w:sz w:val="15"/>
          <w:szCs w:val="15"/>
        </w:rPr>
        <w:t>b) Charakteryzuje pojęcia dermatologiczne</w:t>
      </w:r>
    </w:p>
    <w:p>
      <w:pPr>
        <w:pStyle w:val="Nagwek5"/>
        <w:rPr>
          <w:rFonts w:ascii="Arial" w:hAnsi="Arial" w:eastAsia="Times New Roman" w:cs="Arial"/>
        </w:rPr>
      </w:pPr>
      <w:r>
        <w:rPr>
          <w:rFonts w:eastAsia="Times New Roman" w:cs="Arial" w:ascii="Arial" w:hAnsi="Arial"/>
        </w:rPr>
        <w:t>Kryteria weryfikacji</w:t>
      </w:r>
    </w:p>
    <w:p>
      <w:pPr>
        <w:pStyle w:val="Normalny2"/>
        <w:numPr>
          <w:ilvl w:val="0"/>
          <w:numId w:val="12"/>
        </w:numPr>
        <w:spacing w:before="0" w:after="120"/>
        <w:ind w:left="405" w:hanging="360"/>
        <w:contextualSpacing/>
        <w:jc w:val="both"/>
        <w:rPr>
          <w:sz w:val="15"/>
          <w:szCs w:val="15"/>
        </w:rPr>
      </w:pPr>
      <w:r>
        <w:rPr>
          <w:sz w:val="15"/>
          <w:szCs w:val="15"/>
        </w:rPr>
        <w:t>omawia budowę, funkcje skóry i jej przydatków,</w:t>
      </w:r>
    </w:p>
    <w:p>
      <w:pPr>
        <w:pStyle w:val="Normalny2"/>
        <w:numPr>
          <w:ilvl w:val="0"/>
          <w:numId w:val="12"/>
        </w:numPr>
        <w:spacing w:before="0" w:after="120"/>
        <w:ind w:left="405" w:hanging="360"/>
        <w:contextualSpacing/>
        <w:jc w:val="both"/>
        <w:rPr>
          <w:sz w:val="15"/>
          <w:szCs w:val="15"/>
        </w:rPr>
      </w:pPr>
      <w:r>
        <w:rPr>
          <w:sz w:val="15"/>
          <w:szCs w:val="15"/>
        </w:rPr>
        <w:t>charakteryzuje wykwity pierwotne i wtórne skóry,</w:t>
      </w:r>
    </w:p>
    <w:p>
      <w:pPr>
        <w:pStyle w:val="Normalny2"/>
        <w:numPr>
          <w:ilvl w:val="0"/>
          <w:numId w:val="12"/>
        </w:numPr>
        <w:spacing w:before="0" w:after="120"/>
        <w:ind w:left="405" w:hanging="360"/>
        <w:contextualSpacing/>
        <w:jc w:val="both"/>
        <w:rPr>
          <w:sz w:val="15"/>
          <w:szCs w:val="15"/>
        </w:rPr>
      </w:pPr>
      <w:r>
        <w:rPr>
          <w:sz w:val="15"/>
          <w:szCs w:val="15"/>
        </w:rPr>
        <w:t>omawia zmiany mikroskopowe skóry (np. atrofia, liszajowacenie, pachydermia, akantoza, parakeratoza, hiperkeratoza, spongioza, papilomatoza),</w:t>
      </w:r>
    </w:p>
    <w:p>
      <w:pPr>
        <w:pStyle w:val="Normalny2"/>
        <w:numPr>
          <w:ilvl w:val="0"/>
          <w:numId w:val="12"/>
        </w:numPr>
        <w:spacing w:before="0" w:after="120"/>
        <w:ind w:left="405" w:hanging="360"/>
        <w:contextualSpacing/>
        <w:jc w:val="both"/>
        <w:rPr>
          <w:sz w:val="15"/>
          <w:szCs w:val="15"/>
        </w:rPr>
      </w:pPr>
      <w:r>
        <w:rPr>
          <w:sz w:val="15"/>
          <w:szCs w:val="15"/>
        </w:rPr>
        <w:t xml:space="preserve">charakteryzuje choroby w obrębie skóry stóp np.  bakteryjne, wirusowe, grzybicze, alergiczne, onkologiczne i inne dermatozy </w:t>
        <w:br/>
        <w:t>w obrębie skóry stóp (przyczyny, symptomy choroby oraz możliwe postępowanie w ramach danej kwalifikacji),</w:t>
      </w:r>
    </w:p>
    <w:p>
      <w:pPr>
        <w:pStyle w:val="Normalny2"/>
        <w:numPr>
          <w:ilvl w:val="0"/>
          <w:numId w:val="12"/>
        </w:numPr>
        <w:spacing w:before="0" w:after="120"/>
        <w:ind w:left="405" w:hanging="360"/>
        <w:contextualSpacing/>
        <w:jc w:val="both"/>
        <w:rPr>
          <w:sz w:val="15"/>
          <w:szCs w:val="15"/>
        </w:rPr>
      </w:pPr>
      <w:r>
        <w:rPr>
          <w:sz w:val="15"/>
          <w:szCs w:val="15"/>
        </w:rPr>
        <w:t>charakteryzuje choroby w obrębie aparatu paznokciowego np.  bakteryjne, grzybicze, alergiczne, onkologiczne w obrębie skóry stóp (przyczyny, symptomy choroby oraz możliwe postępowanie w ramach danej kwalifikacji),</w:t>
      </w:r>
    </w:p>
    <w:p>
      <w:pPr>
        <w:pStyle w:val="Normalny2"/>
        <w:numPr>
          <w:ilvl w:val="0"/>
          <w:numId w:val="12"/>
        </w:numPr>
        <w:spacing w:before="0" w:after="120"/>
        <w:ind w:left="405" w:hanging="360"/>
        <w:contextualSpacing/>
        <w:jc w:val="both"/>
        <w:rPr>
          <w:sz w:val="15"/>
          <w:szCs w:val="15"/>
        </w:rPr>
      </w:pPr>
      <w:r>
        <w:rPr>
          <w:sz w:val="15"/>
          <w:szCs w:val="15"/>
        </w:rPr>
        <w:t xml:space="preserve">opisuje przyczyny powstawania  różnych rodzajów hiperkeratoz skóry stóp, </w:t>
      </w:r>
    </w:p>
    <w:p>
      <w:pPr>
        <w:pStyle w:val="Normalny2"/>
        <w:numPr>
          <w:ilvl w:val="0"/>
          <w:numId w:val="12"/>
        </w:numPr>
        <w:spacing w:before="0" w:after="120"/>
        <w:ind w:left="405" w:hanging="360"/>
        <w:contextualSpacing/>
        <w:jc w:val="both"/>
        <w:rPr>
          <w:sz w:val="15"/>
          <w:szCs w:val="15"/>
        </w:rPr>
      </w:pPr>
      <w:r>
        <w:rPr>
          <w:sz w:val="15"/>
          <w:szCs w:val="15"/>
        </w:rPr>
        <w:t>omawia sposoby zapobiegania i terapii podologicznej hiperkeratoz,</w:t>
      </w:r>
    </w:p>
    <w:p>
      <w:pPr>
        <w:pStyle w:val="Normalny2"/>
        <w:numPr>
          <w:ilvl w:val="0"/>
          <w:numId w:val="12"/>
        </w:numPr>
        <w:spacing w:before="0" w:after="120"/>
        <w:ind w:left="405" w:hanging="360"/>
        <w:contextualSpacing/>
        <w:jc w:val="both"/>
        <w:rPr>
          <w:b/>
          <w:b/>
          <w:sz w:val="15"/>
          <w:szCs w:val="15"/>
        </w:rPr>
      </w:pPr>
      <w:r>
        <w:rPr>
          <w:sz w:val="15"/>
          <w:szCs w:val="15"/>
        </w:rPr>
        <w:t>omawia proces wrastania paznokcia, podając stadia wrastania, przyczyny, możliwe opcje terapeutyczne,</w:t>
      </w:r>
    </w:p>
    <w:p>
      <w:pPr>
        <w:pStyle w:val="Normalny2"/>
        <w:numPr>
          <w:ilvl w:val="0"/>
          <w:numId w:val="12"/>
        </w:numPr>
        <w:spacing w:before="0" w:after="120"/>
        <w:ind w:left="405" w:hanging="360"/>
        <w:contextualSpacing/>
        <w:jc w:val="both"/>
        <w:rPr>
          <w:sz w:val="15"/>
          <w:szCs w:val="15"/>
        </w:rPr>
      </w:pPr>
      <w:r>
        <w:rPr>
          <w:sz w:val="15"/>
          <w:szCs w:val="15"/>
        </w:rPr>
        <w:t>charakteryzuje choroby gruczołów potowych skóry stóp, wskazując na przyczyny, konsekwencje i możliwości terapeutyczne,</w:t>
      </w:r>
    </w:p>
    <w:p>
      <w:pPr>
        <w:pStyle w:val="Normalny2"/>
        <w:numPr>
          <w:ilvl w:val="0"/>
          <w:numId w:val="12"/>
        </w:numPr>
        <w:spacing w:before="0" w:after="120"/>
        <w:ind w:left="405" w:hanging="360"/>
        <w:contextualSpacing/>
        <w:jc w:val="both"/>
        <w:rPr>
          <w:sz w:val="15"/>
          <w:szCs w:val="15"/>
        </w:rPr>
      </w:pPr>
      <w:r>
        <w:rPr>
          <w:sz w:val="15"/>
          <w:szCs w:val="15"/>
        </w:rPr>
        <w:t>charakteryzuje  deformacje płytki paznokciowej, wskazując na przyczynę, symptomy i możliwości terapeutyczne,</w:t>
      </w:r>
    </w:p>
    <w:p>
      <w:pPr>
        <w:pStyle w:val="Normalny2"/>
        <w:numPr>
          <w:ilvl w:val="0"/>
          <w:numId w:val="12"/>
        </w:numPr>
        <w:spacing w:before="0" w:after="120"/>
        <w:ind w:left="405" w:hanging="360"/>
        <w:contextualSpacing/>
        <w:jc w:val="both"/>
        <w:rPr>
          <w:sz w:val="15"/>
          <w:szCs w:val="15"/>
        </w:rPr>
      </w:pPr>
      <w:r>
        <w:rPr>
          <w:sz w:val="15"/>
          <w:szCs w:val="15"/>
        </w:rPr>
        <w:t>charakteryzuje  mechaniczne, termiczne i chemiczne uszkodzenia skóry i paznokci,</w:t>
      </w:r>
    </w:p>
    <w:p>
      <w:pPr>
        <w:pStyle w:val="Normalny2"/>
        <w:numPr>
          <w:ilvl w:val="0"/>
          <w:numId w:val="12"/>
        </w:numPr>
        <w:spacing w:before="0" w:after="120"/>
        <w:ind w:left="405" w:hanging="360"/>
        <w:contextualSpacing/>
        <w:jc w:val="both"/>
        <w:rPr>
          <w:sz w:val="15"/>
          <w:szCs w:val="15"/>
        </w:rPr>
      </w:pPr>
      <w:r>
        <w:rPr>
          <w:sz w:val="15"/>
          <w:szCs w:val="15"/>
        </w:rPr>
        <w:t>omawia defekty wrodzone i nabyte paznokci,charakteryzuje zmiany paznokciowe w chorobach układowych (np. choroby serca</w:t>
        <w:br/>
        <w:t xml:space="preserve"> i układu krążenia oraz serca i płuc, choroby żołądka i jelit, zaburzenia endokrynologiczne, choroby krwi i schorzenia ogólne, choroby skóry, choroby naczyniowe).</w:t>
      </w:r>
    </w:p>
    <w:p>
      <w:pPr>
        <w:pStyle w:val="Nagwek5"/>
        <w:rPr>
          <w:rFonts w:ascii="Arial" w:hAnsi="Arial" w:eastAsia="Times New Roman" w:cs="Arial"/>
        </w:rPr>
      </w:pPr>
      <w:r>
        <w:rPr>
          <w:rFonts w:eastAsia="Times New Roman" w:cs="Arial" w:ascii="Arial" w:hAnsi="Arial"/>
        </w:rPr>
        <w:t>Efekt uczenia</w:t>
      </w:r>
    </w:p>
    <w:p>
      <w:pPr>
        <w:pStyle w:val="Normal"/>
        <w:rPr>
          <w:rFonts w:ascii="Arial" w:hAnsi="Arial" w:eastAsia="Times New Roman" w:cs="Arial"/>
          <w:sz w:val="15"/>
          <w:szCs w:val="15"/>
        </w:rPr>
      </w:pPr>
      <w:r>
        <w:rPr>
          <w:rFonts w:eastAsia="Times New Roman" w:cs="Arial" w:ascii="Arial" w:hAnsi="Arial"/>
          <w:sz w:val="15"/>
          <w:szCs w:val="15"/>
        </w:rPr>
        <w:t xml:space="preserve">c) </w:t>
      </w:r>
      <w:r>
        <w:rPr>
          <w:rFonts w:cs="Arial" w:ascii="Arial" w:hAnsi="Arial"/>
          <w:sz w:val="15"/>
          <w:szCs w:val="15"/>
        </w:rPr>
        <w:t>Omawia pojęcia z mikrobiologii w zakresie podologii</w:t>
      </w:r>
    </w:p>
    <w:p>
      <w:pPr>
        <w:pStyle w:val="Nagwek5"/>
        <w:rPr>
          <w:rFonts w:ascii="Arial" w:hAnsi="Arial" w:eastAsia="Times New Roman" w:cs="Arial"/>
        </w:rPr>
      </w:pPr>
      <w:r>
        <w:rPr>
          <w:rFonts w:eastAsia="Times New Roman" w:cs="Arial" w:ascii="Arial" w:hAnsi="Arial"/>
        </w:rPr>
        <w:t>Kryteria weryfikacji</w:t>
      </w:r>
    </w:p>
    <w:p>
      <w:pPr>
        <w:pStyle w:val="Normalny2"/>
        <w:numPr>
          <w:ilvl w:val="0"/>
          <w:numId w:val="12"/>
        </w:numPr>
        <w:spacing w:before="0" w:after="120"/>
        <w:ind w:left="405" w:hanging="360"/>
        <w:contextualSpacing/>
        <w:rPr>
          <w:sz w:val="15"/>
          <w:szCs w:val="15"/>
        </w:rPr>
      </w:pPr>
      <w:r>
        <w:rPr>
          <w:sz w:val="15"/>
          <w:szCs w:val="15"/>
        </w:rPr>
        <w:t>charakteryzuje badanie mykologiczne i bakteriologiczne,</w:t>
      </w:r>
    </w:p>
    <w:p>
      <w:pPr>
        <w:pStyle w:val="Normalny2"/>
        <w:numPr>
          <w:ilvl w:val="0"/>
          <w:numId w:val="12"/>
        </w:numPr>
        <w:spacing w:before="0" w:after="120"/>
        <w:ind w:left="405" w:hanging="360"/>
        <w:contextualSpacing/>
        <w:rPr>
          <w:sz w:val="15"/>
          <w:szCs w:val="15"/>
        </w:rPr>
      </w:pPr>
      <w:r>
        <w:rPr>
          <w:sz w:val="15"/>
          <w:szCs w:val="15"/>
        </w:rPr>
        <w:t>omawia wskazania i przeciwwskazania do badania mykologicznego i bakteriologicznego,</w:t>
      </w:r>
    </w:p>
    <w:p>
      <w:pPr>
        <w:pStyle w:val="Normalny2"/>
        <w:numPr>
          <w:ilvl w:val="0"/>
          <w:numId w:val="12"/>
        </w:numPr>
        <w:spacing w:before="0" w:after="120"/>
        <w:ind w:left="405" w:hanging="360"/>
        <w:contextualSpacing/>
        <w:rPr>
          <w:sz w:val="15"/>
          <w:szCs w:val="15"/>
        </w:rPr>
      </w:pPr>
      <w:r>
        <w:rPr>
          <w:sz w:val="15"/>
          <w:szCs w:val="15"/>
        </w:rPr>
        <w:t>omawia proces pobierania materiału do badania mykologicznego i bakteriologicznego (przygotowanie klienta, sprzęt, procedura pobrania, zabezpieczenie i transport materiału</w:t>
      </w:r>
      <w:r>
        <w:rPr>
          <w:rFonts w:eastAsia="Times New Roman"/>
          <w:sz w:val="15"/>
          <w:szCs w:val="15"/>
        </w:rPr>
        <w:t xml:space="preserve"> </w:t>
      </w:r>
    </w:p>
    <w:p>
      <w:pPr>
        <w:pStyle w:val="Nagwek5"/>
        <w:rPr>
          <w:rFonts w:ascii="Arial" w:hAnsi="Arial" w:eastAsia="Times New Roman" w:cs="Arial"/>
        </w:rPr>
      </w:pPr>
      <w:r>
        <w:rPr>
          <w:rFonts w:eastAsia="Times New Roman" w:cs="Arial" w:ascii="Arial" w:hAnsi="Arial"/>
        </w:rPr>
        <w:t>Efekt uczenia</w:t>
      </w:r>
    </w:p>
    <w:p>
      <w:pPr>
        <w:pStyle w:val="Normal"/>
        <w:rPr>
          <w:rFonts w:ascii="Arial" w:hAnsi="Arial" w:eastAsia="Times New Roman" w:cs="Arial"/>
          <w:sz w:val="15"/>
          <w:szCs w:val="15"/>
        </w:rPr>
      </w:pPr>
      <w:r>
        <w:rPr>
          <w:rFonts w:eastAsia="Times New Roman" w:cs="Arial" w:ascii="Arial" w:hAnsi="Arial"/>
          <w:sz w:val="15"/>
          <w:szCs w:val="15"/>
        </w:rPr>
        <w:t xml:space="preserve">d) </w:t>
      </w:r>
      <w:r>
        <w:rPr>
          <w:rFonts w:cs="Arial" w:ascii="Arial" w:hAnsi="Arial"/>
          <w:sz w:val="15"/>
          <w:szCs w:val="15"/>
        </w:rPr>
        <w:t>Omawia pojęcia z zakresu rozpoznawania ran w obrębie kończyn dolnych</w:t>
      </w:r>
    </w:p>
    <w:p>
      <w:pPr>
        <w:pStyle w:val="Nagwek5"/>
        <w:rPr>
          <w:rFonts w:ascii="Arial" w:hAnsi="Arial" w:eastAsia="Times New Roman" w:cs="Arial"/>
        </w:rPr>
      </w:pPr>
      <w:r>
        <w:rPr>
          <w:rFonts w:eastAsia="Times New Roman" w:cs="Arial" w:ascii="Arial" w:hAnsi="Arial"/>
        </w:rPr>
        <w:t>Kryteria weryfikacji</w:t>
      </w:r>
    </w:p>
    <w:p>
      <w:pPr>
        <w:pStyle w:val="Normalny2"/>
        <w:numPr>
          <w:ilvl w:val="0"/>
          <w:numId w:val="12"/>
        </w:numPr>
        <w:spacing w:before="0" w:after="120"/>
        <w:ind w:left="405" w:hanging="360"/>
        <w:contextualSpacing/>
        <w:rPr>
          <w:sz w:val="15"/>
          <w:szCs w:val="15"/>
        </w:rPr>
      </w:pPr>
      <w:r>
        <w:rPr>
          <w:sz w:val="15"/>
          <w:szCs w:val="15"/>
        </w:rPr>
        <w:t>omawia kryteria klasyfikacji ran,</w:t>
      </w:r>
    </w:p>
    <w:p>
      <w:pPr>
        <w:pStyle w:val="Normalny2"/>
        <w:numPr>
          <w:ilvl w:val="0"/>
          <w:numId w:val="12"/>
        </w:numPr>
        <w:spacing w:before="0" w:after="120"/>
        <w:ind w:left="405" w:hanging="360"/>
        <w:contextualSpacing/>
        <w:rPr>
          <w:sz w:val="15"/>
          <w:szCs w:val="15"/>
        </w:rPr>
      </w:pPr>
      <w:r>
        <w:rPr>
          <w:sz w:val="15"/>
          <w:szCs w:val="15"/>
        </w:rPr>
        <w:t>omawia proces gojenia się rany,</w:t>
      </w:r>
    </w:p>
    <w:p>
      <w:pPr>
        <w:pStyle w:val="Normalny2"/>
        <w:numPr>
          <w:ilvl w:val="0"/>
          <w:numId w:val="12"/>
        </w:numPr>
        <w:spacing w:before="0" w:after="120"/>
        <w:ind w:left="405" w:hanging="360"/>
        <w:contextualSpacing/>
        <w:rPr>
          <w:sz w:val="15"/>
          <w:szCs w:val="15"/>
        </w:rPr>
      </w:pPr>
      <w:r>
        <w:rPr>
          <w:sz w:val="15"/>
          <w:szCs w:val="15"/>
        </w:rPr>
        <w:t>omawia ryzyka zakażenia rany,</w:t>
      </w:r>
    </w:p>
    <w:p>
      <w:pPr>
        <w:pStyle w:val="Normalny2"/>
        <w:numPr>
          <w:ilvl w:val="0"/>
          <w:numId w:val="12"/>
        </w:numPr>
        <w:spacing w:before="0" w:after="120"/>
        <w:ind w:left="405" w:hanging="360"/>
        <w:contextualSpacing/>
        <w:rPr>
          <w:sz w:val="15"/>
          <w:szCs w:val="15"/>
        </w:rPr>
      </w:pPr>
      <w:r>
        <w:rPr>
          <w:sz w:val="15"/>
          <w:szCs w:val="15"/>
        </w:rPr>
        <w:t>omawia czynniki predysponujące do wystąpienia zespołu stopy cukrzycowej,</w:t>
      </w:r>
    </w:p>
    <w:p>
      <w:pPr>
        <w:pStyle w:val="Normalny2"/>
        <w:numPr>
          <w:ilvl w:val="0"/>
          <w:numId w:val="12"/>
        </w:numPr>
        <w:spacing w:before="0" w:after="120"/>
        <w:ind w:left="405" w:hanging="360"/>
        <w:contextualSpacing/>
        <w:rPr>
          <w:sz w:val="15"/>
          <w:szCs w:val="15"/>
        </w:rPr>
      </w:pPr>
      <w:r>
        <w:rPr>
          <w:sz w:val="15"/>
          <w:szCs w:val="15"/>
        </w:rPr>
        <w:t>omawia sposoby oczyszczania rany, środki i narzędzia do tego stosowane,</w:t>
      </w:r>
    </w:p>
    <w:p>
      <w:pPr>
        <w:pStyle w:val="Normalny2"/>
        <w:numPr>
          <w:ilvl w:val="0"/>
          <w:numId w:val="12"/>
        </w:numPr>
        <w:spacing w:before="0" w:after="120"/>
        <w:ind w:left="405" w:hanging="360"/>
        <w:contextualSpacing/>
        <w:rPr>
          <w:sz w:val="15"/>
          <w:szCs w:val="15"/>
        </w:rPr>
      </w:pPr>
      <w:r>
        <w:rPr>
          <w:sz w:val="15"/>
          <w:szCs w:val="15"/>
        </w:rPr>
        <w:t>wymienia i omawia sposoby zaopatrzenia ran</w:t>
      </w:r>
      <w:r>
        <w:rPr>
          <w:rFonts w:eastAsia="Times New Roman"/>
          <w:sz w:val="15"/>
          <w:szCs w:val="15"/>
        </w:rPr>
        <w:t xml:space="preserve"> </w:t>
      </w:r>
    </w:p>
    <w:p>
      <w:pPr>
        <w:pStyle w:val="Nagwek5"/>
        <w:rPr>
          <w:rFonts w:ascii="Arial" w:hAnsi="Arial" w:eastAsia="Times New Roman" w:cs="Arial"/>
        </w:rPr>
      </w:pPr>
      <w:r>
        <w:rPr>
          <w:rFonts w:eastAsia="Times New Roman" w:cs="Arial" w:ascii="Arial" w:hAnsi="Arial"/>
        </w:rPr>
        <w:t>Efekt uczenia</w:t>
      </w:r>
    </w:p>
    <w:p>
      <w:pPr>
        <w:pStyle w:val="Normal"/>
        <w:rPr>
          <w:rFonts w:ascii="Arial" w:hAnsi="Arial" w:eastAsia="Times New Roman" w:cs="Arial"/>
          <w:sz w:val="15"/>
          <w:szCs w:val="15"/>
        </w:rPr>
      </w:pPr>
      <w:r>
        <w:rPr>
          <w:rFonts w:eastAsia="Times New Roman" w:cs="Arial" w:ascii="Arial" w:hAnsi="Arial"/>
          <w:sz w:val="15"/>
          <w:szCs w:val="15"/>
        </w:rPr>
        <w:t xml:space="preserve">e) </w:t>
      </w:r>
      <w:r>
        <w:rPr>
          <w:rFonts w:cs="Arial" w:ascii="Arial" w:hAnsi="Arial"/>
          <w:sz w:val="15"/>
          <w:szCs w:val="15"/>
        </w:rPr>
        <w:t>Omawia pojęcia z zakresu farmakologii</w:t>
      </w:r>
    </w:p>
    <w:p>
      <w:pPr>
        <w:pStyle w:val="Nagwek5"/>
        <w:rPr>
          <w:rFonts w:ascii="Arial" w:hAnsi="Arial" w:eastAsia="Times New Roman" w:cs="Arial"/>
        </w:rPr>
      </w:pPr>
      <w:r>
        <w:rPr>
          <w:rFonts w:eastAsia="Times New Roman" w:cs="Arial" w:ascii="Arial" w:hAnsi="Arial"/>
        </w:rPr>
        <w:t>Kryteria weryfikacji</w:t>
      </w:r>
    </w:p>
    <w:p>
      <w:pPr>
        <w:pStyle w:val="Normalny2"/>
        <w:numPr>
          <w:ilvl w:val="0"/>
          <w:numId w:val="12"/>
        </w:numPr>
        <w:spacing w:before="0" w:after="120"/>
        <w:ind w:left="405" w:hanging="360"/>
        <w:contextualSpacing/>
        <w:jc w:val="both"/>
        <w:rPr>
          <w:sz w:val="15"/>
          <w:szCs w:val="15"/>
        </w:rPr>
      </w:pPr>
      <w:r>
        <w:rPr>
          <w:sz w:val="15"/>
          <w:szCs w:val="15"/>
        </w:rPr>
        <w:t>definiuje pojęcia: wyrób medyczny, produkt leczniczy, suplement diety stosowane w praktyce podologicznej,</w:t>
      </w:r>
    </w:p>
    <w:p>
      <w:pPr>
        <w:pStyle w:val="Normalny2"/>
        <w:numPr>
          <w:ilvl w:val="0"/>
          <w:numId w:val="12"/>
        </w:numPr>
        <w:spacing w:before="0" w:after="120"/>
        <w:ind w:left="405" w:hanging="360"/>
        <w:contextualSpacing/>
        <w:jc w:val="both"/>
        <w:rPr>
          <w:sz w:val="15"/>
          <w:szCs w:val="15"/>
        </w:rPr>
      </w:pPr>
      <w:r>
        <w:rPr>
          <w:sz w:val="15"/>
          <w:szCs w:val="15"/>
        </w:rPr>
        <w:t>omawia działania niepożądane po zastosowaniu wyrobów medycznych, produktów leczniczych, suplementów diety w praktyce podologicznej,</w:t>
      </w:r>
    </w:p>
    <w:p>
      <w:pPr>
        <w:pStyle w:val="Normalny2"/>
        <w:numPr>
          <w:ilvl w:val="0"/>
          <w:numId w:val="12"/>
        </w:numPr>
        <w:spacing w:before="0" w:after="120"/>
        <w:ind w:left="405" w:hanging="360"/>
        <w:contextualSpacing/>
        <w:jc w:val="both"/>
        <w:rPr>
          <w:sz w:val="15"/>
          <w:szCs w:val="15"/>
        </w:rPr>
      </w:pPr>
      <w:r>
        <w:rPr>
          <w:sz w:val="15"/>
          <w:szCs w:val="15"/>
        </w:rPr>
        <w:t>interpretuje elementy Charakterystyki Produktu Leczniczego oraz ulotki dla klienta pod kątem wpływu preparatu na możliwość przeprowadzania zabiegów podologicznych,</w:t>
      </w:r>
    </w:p>
    <w:p>
      <w:pPr>
        <w:pStyle w:val="Normalny2"/>
        <w:numPr>
          <w:ilvl w:val="0"/>
          <w:numId w:val="12"/>
        </w:numPr>
        <w:spacing w:before="0" w:after="120"/>
        <w:ind w:left="405" w:hanging="360"/>
        <w:contextualSpacing/>
        <w:jc w:val="both"/>
        <w:rPr>
          <w:sz w:val="15"/>
          <w:szCs w:val="15"/>
        </w:rPr>
      </w:pPr>
      <w:r>
        <w:rPr>
          <w:sz w:val="15"/>
          <w:szCs w:val="15"/>
        </w:rPr>
        <w:t>omawia warunki przechowywania produktów leczniczych, pielęgnacyjnych i  kosmetycznych odpowiednio do ich specyfiki;</w:t>
      </w:r>
    </w:p>
    <w:p>
      <w:pPr>
        <w:pStyle w:val="Normalny2"/>
        <w:numPr>
          <w:ilvl w:val="0"/>
          <w:numId w:val="12"/>
        </w:numPr>
        <w:spacing w:before="0" w:after="120"/>
        <w:ind w:left="405" w:hanging="360"/>
        <w:contextualSpacing/>
        <w:jc w:val="both"/>
        <w:rPr>
          <w:sz w:val="15"/>
          <w:szCs w:val="15"/>
        </w:rPr>
      </w:pPr>
      <w:r>
        <w:rPr>
          <w:sz w:val="15"/>
          <w:szCs w:val="15"/>
        </w:rPr>
        <w:t>definiuje pojęcia: placebo i nocebo,</w:t>
      </w:r>
    </w:p>
    <w:p>
      <w:pPr>
        <w:pStyle w:val="Normalny2"/>
        <w:numPr>
          <w:ilvl w:val="0"/>
          <w:numId w:val="12"/>
        </w:numPr>
        <w:spacing w:before="0" w:after="120"/>
        <w:ind w:left="405" w:hanging="360"/>
        <w:contextualSpacing/>
        <w:jc w:val="both"/>
        <w:rPr>
          <w:sz w:val="15"/>
          <w:szCs w:val="15"/>
        </w:rPr>
      </w:pPr>
      <w:r>
        <w:rPr>
          <w:sz w:val="15"/>
          <w:szCs w:val="15"/>
        </w:rPr>
        <w:t>charakteryzuje pochodne kwasu salicylowego i innych kwasów organicznych stosowanych w podologii: zakres działania, wskazania i przeciwwskazania, sposoby dawkowania, działania uboczne, interakcje,</w:t>
      </w:r>
    </w:p>
    <w:p>
      <w:pPr>
        <w:pStyle w:val="Normalny2"/>
        <w:numPr>
          <w:ilvl w:val="0"/>
          <w:numId w:val="12"/>
        </w:numPr>
        <w:spacing w:before="0" w:after="120"/>
        <w:ind w:left="405" w:hanging="360"/>
        <w:contextualSpacing/>
        <w:jc w:val="both"/>
        <w:rPr>
          <w:sz w:val="15"/>
          <w:szCs w:val="15"/>
        </w:rPr>
      </w:pPr>
      <w:r>
        <w:rPr>
          <w:sz w:val="15"/>
          <w:szCs w:val="15"/>
        </w:rPr>
        <w:t>definiuje pojęcie środków hemostatycznych,</w:t>
      </w:r>
    </w:p>
    <w:p>
      <w:pPr>
        <w:pStyle w:val="Normalny2"/>
        <w:numPr>
          <w:ilvl w:val="0"/>
          <w:numId w:val="12"/>
        </w:numPr>
        <w:spacing w:before="0" w:after="120"/>
        <w:ind w:left="405" w:hanging="360"/>
        <w:contextualSpacing/>
        <w:jc w:val="both"/>
        <w:rPr>
          <w:sz w:val="15"/>
          <w:szCs w:val="15"/>
        </w:rPr>
      </w:pPr>
      <w:r>
        <w:rPr>
          <w:sz w:val="15"/>
          <w:szCs w:val="15"/>
        </w:rPr>
        <w:t>wymienia rodzaje środków hemostatycznych, ich zastosowanie, mechanizm działania i bezpieczeństwo stosowania</w:t>
      </w:r>
      <w:r>
        <w:rPr>
          <w:rFonts w:eastAsia="Times New Roman"/>
          <w:sz w:val="15"/>
          <w:szCs w:val="15"/>
        </w:rPr>
        <w:t xml:space="preserve">. </w:t>
      </w:r>
    </w:p>
    <w:p>
      <w:pPr>
        <w:pStyle w:val="Nagwek5"/>
        <w:rPr>
          <w:rFonts w:ascii="Arial" w:hAnsi="Arial" w:eastAsia="Times New Roman" w:cs="Arial"/>
        </w:rPr>
      </w:pPr>
      <w:r>
        <w:rPr>
          <w:rFonts w:eastAsia="Times New Roman" w:cs="Arial" w:ascii="Arial" w:hAnsi="Arial"/>
        </w:rPr>
        <w:t>Efekt uczenia</w:t>
      </w:r>
    </w:p>
    <w:p>
      <w:pPr>
        <w:pStyle w:val="Normal"/>
        <w:rPr>
          <w:rFonts w:ascii="Arial" w:hAnsi="Arial" w:eastAsia="Times New Roman" w:cs="Arial"/>
          <w:sz w:val="15"/>
          <w:szCs w:val="15"/>
        </w:rPr>
      </w:pPr>
      <w:r>
        <w:rPr>
          <w:rFonts w:eastAsia="Times New Roman" w:cs="Arial" w:ascii="Arial" w:hAnsi="Arial"/>
          <w:sz w:val="15"/>
          <w:szCs w:val="15"/>
        </w:rPr>
        <w:t>f) Omawia pojęcia z podologii ortopedycznej</w:t>
      </w:r>
    </w:p>
    <w:p>
      <w:pPr>
        <w:pStyle w:val="Nagwek5"/>
        <w:rPr>
          <w:rFonts w:ascii="Arial" w:hAnsi="Arial" w:eastAsia="Times New Roman" w:cs="Arial"/>
        </w:rPr>
      </w:pPr>
      <w:r>
        <w:rPr>
          <w:rFonts w:eastAsia="Times New Roman" w:cs="Arial" w:ascii="Arial" w:hAnsi="Arial"/>
        </w:rPr>
        <w:t>Kryteria weryfikacji</w:t>
      </w:r>
    </w:p>
    <w:p>
      <w:pPr>
        <w:pStyle w:val="Normalny2"/>
        <w:numPr>
          <w:ilvl w:val="0"/>
          <w:numId w:val="12"/>
        </w:numPr>
        <w:spacing w:before="0" w:after="120"/>
        <w:ind w:left="405" w:hanging="360"/>
        <w:contextualSpacing/>
        <w:rPr>
          <w:sz w:val="15"/>
          <w:szCs w:val="15"/>
        </w:rPr>
      </w:pPr>
      <w:r>
        <w:rPr>
          <w:sz w:val="15"/>
          <w:szCs w:val="15"/>
        </w:rPr>
        <w:t>definiuje ruchy stopy (np. zgięcie podeszwowe i grzbietowe, inwersja i ewersja, przywiedzenie i odwiedzenie, supinacja i pronacja, przetaczanie (fazy), propulsja),</w:t>
      </w:r>
    </w:p>
    <w:p>
      <w:pPr>
        <w:pStyle w:val="Normalny2"/>
        <w:numPr>
          <w:ilvl w:val="0"/>
          <w:numId w:val="12"/>
        </w:numPr>
        <w:spacing w:before="0" w:after="120"/>
        <w:ind w:left="405" w:hanging="360"/>
        <w:contextualSpacing/>
        <w:rPr>
          <w:sz w:val="15"/>
          <w:szCs w:val="15"/>
        </w:rPr>
      </w:pPr>
      <w:r>
        <w:rPr>
          <w:sz w:val="15"/>
          <w:szCs w:val="15"/>
        </w:rPr>
        <w:t>omawia determinanty chodu,</w:t>
      </w:r>
    </w:p>
    <w:p>
      <w:pPr>
        <w:pStyle w:val="Normalny2"/>
        <w:numPr>
          <w:ilvl w:val="0"/>
          <w:numId w:val="12"/>
        </w:numPr>
        <w:spacing w:before="0" w:after="120"/>
        <w:ind w:left="405" w:hanging="360"/>
        <w:contextualSpacing/>
        <w:rPr>
          <w:sz w:val="15"/>
          <w:szCs w:val="15"/>
        </w:rPr>
      </w:pPr>
      <w:r>
        <w:rPr>
          <w:sz w:val="15"/>
          <w:szCs w:val="15"/>
        </w:rPr>
        <w:t>definiuje wady i deformacje stopy w odniesienie do stępu, śródstopia, przodostopia, palców,</w:t>
      </w:r>
    </w:p>
    <w:p>
      <w:pPr>
        <w:pStyle w:val="Normalny2"/>
        <w:numPr>
          <w:ilvl w:val="0"/>
          <w:numId w:val="12"/>
        </w:numPr>
        <w:spacing w:before="0" w:after="120"/>
        <w:ind w:left="405" w:hanging="360"/>
        <w:contextualSpacing/>
        <w:rPr>
          <w:sz w:val="15"/>
          <w:szCs w:val="15"/>
        </w:rPr>
      </w:pPr>
      <w:r>
        <w:rPr>
          <w:sz w:val="15"/>
          <w:szCs w:val="15"/>
        </w:rPr>
        <w:t>posługuje się nazewnictwem medycznym w określeniu struktur anatomicznych stopy, stawu skokowego i goleni,</w:t>
      </w:r>
    </w:p>
    <w:p>
      <w:pPr>
        <w:pStyle w:val="Normalny2"/>
        <w:numPr>
          <w:ilvl w:val="0"/>
          <w:numId w:val="12"/>
        </w:numPr>
        <w:spacing w:before="0" w:after="120"/>
        <w:ind w:left="405" w:hanging="360"/>
        <w:contextualSpacing/>
        <w:rPr>
          <w:sz w:val="15"/>
          <w:szCs w:val="15"/>
        </w:rPr>
      </w:pPr>
      <w:r>
        <w:rPr>
          <w:sz w:val="15"/>
          <w:szCs w:val="15"/>
        </w:rPr>
        <w:t>omawia zastosowanie urządzeń stosowanych do diagnostyki stóp.</w:t>
      </w:r>
      <w:r>
        <w:rPr>
          <w:rFonts w:eastAsia="Times New Roman"/>
          <w:sz w:val="15"/>
          <w:szCs w:val="15"/>
        </w:rPr>
        <w:t xml:space="preserve"> </w:t>
      </w:r>
    </w:p>
    <w:p>
      <w:pPr>
        <w:pStyle w:val="Nagwek5"/>
        <w:rPr>
          <w:rFonts w:ascii="Arial" w:hAnsi="Arial" w:eastAsia="Times New Roman" w:cs="Arial"/>
        </w:rPr>
      </w:pPr>
      <w:r>
        <w:rPr>
          <w:rFonts w:eastAsia="Times New Roman" w:cs="Arial" w:ascii="Arial" w:hAnsi="Arial"/>
        </w:rPr>
        <w:t>Efekt uczenia</w:t>
      </w:r>
    </w:p>
    <w:p>
      <w:pPr>
        <w:pStyle w:val="Normal"/>
        <w:rPr>
          <w:rFonts w:ascii="Arial" w:hAnsi="Arial" w:eastAsia="Times New Roman" w:cs="Arial"/>
          <w:sz w:val="15"/>
          <w:szCs w:val="15"/>
        </w:rPr>
      </w:pPr>
      <w:r>
        <w:rPr>
          <w:rFonts w:eastAsia="Times New Roman" w:cs="Arial" w:ascii="Arial" w:hAnsi="Arial"/>
          <w:sz w:val="15"/>
          <w:szCs w:val="15"/>
        </w:rPr>
        <w:t>g) Omawia pojęcia z obszaru flebologii i angiologii</w:t>
      </w:r>
    </w:p>
    <w:p>
      <w:pPr>
        <w:pStyle w:val="Nagwek5"/>
        <w:rPr>
          <w:rFonts w:ascii="Arial" w:hAnsi="Arial" w:eastAsia="Times New Roman" w:cs="Arial"/>
        </w:rPr>
      </w:pPr>
      <w:r>
        <w:rPr>
          <w:rFonts w:eastAsia="Times New Roman" w:cs="Arial" w:ascii="Arial" w:hAnsi="Arial"/>
        </w:rPr>
        <w:t>Kryteria weryfikacji</w:t>
      </w:r>
    </w:p>
    <w:p>
      <w:pPr>
        <w:pStyle w:val="Normalny2"/>
        <w:numPr>
          <w:ilvl w:val="0"/>
          <w:numId w:val="12"/>
        </w:numPr>
        <w:spacing w:before="0" w:after="120"/>
        <w:ind w:left="405" w:hanging="360"/>
        <w:contextualSpacing/>
        <w:rPr>
          <w:sz w:val="15"/>
          <w:szCs w:val="15"/>
        </w:rPr>
      </w:pPr>
      <w:r>
        <w:rPr>
          <w:sz w:val="15"/>
          <w:szCs w:val="15"/>
        </w:rPr>
        <w:t>charakteryzuje choroby układu naczyniowego w obrębie kończyn dolnych,</w:t>
      </w:r>
    </w:p>
    <w:p>
      <w:pPr>
        <w:pStyle w:val="Normalny2"/>
        <w:numPr>
          <w:ilvl w:val="0"/>
          <w:numId w:val="12"/>
        </w:numPr>
        <w:spacing w:before="0" w:after="120"/>
        <w:ind w:left="405" w:hanging="360"/>
        <w:contextualSpacing/>
        <w:rPr>
          <w:sz w:val="15"/>
          <w:szCs w:val="15"/>
        </w:rPr>
      </w:pPr>
      <w:r>
        <w:rPr>
          <w:sz w:val="15"/>
          <w:szCs w:val="15"/>
        </w:rPr>
        <w:t>omawia zagrożenia wynikające z danej jednostki chorobowej,</w:t>
      </w:r>
    </w:p>
    <w:p>
      <w:pPr>
        <w:pStyle w:val="Normalny2"/>
        <w:numPr>
          <w:ilvl w:val="0"/>
          <w:numId w:val="12"/>
        </w:numPr>
        <w:spacing w:before="0" w:after="120"/>
        <w:ind w:left="405" w:hanging="360"/>
        <w:contextualSpacing/>
        <w:rPr>
          <w:sz w:val="15"/>
          <w:szCs w:val="15"/>
        </w:rPr>
      </w:pPr>
      <w:r>
        <w:rPr>
          <w:sz w:val="15"/>
          <w:szCs w:val="15"/>
        </w:rPr>
        <w:t>omawia wskazania i przeciwwskazania do zabiegów podologicznych ze względu na choroby układu naczyniowego.</w:t>
      </w:r>
    </w:p>
    <w:p>
      <w:pPr>
        <w:pStyle w:val="Nagwek5"/>
        <w:rPr>
          <w:rFonts w:ascii="Arial" w:hAnsi="Arial" w:eastAsia="Times New Roman" w:cs="Arial"/>
        </w:rPr>
      </w:pPr>
      <w:r>
        <w:rPr>
          <w:rFonts w:eastAsia="Times New Roman" w:cs="Arial" w:ascii="Arial" w:hAnsi="Arial"/>
        </w:rPr>
        <w:t>Efekt uczenia</w:t>
      </w:r>
    </w:p>
    <w:p>
      <w:pPr>
        <w:pStyle w:val="Normal"/>
        <w:rPr>
          <w:rFonts w:ascii="Arial" w:hAnsi="Arial" w:eastAsia="Times New Roman" w:cs="Arial"/>
          <w:sz w:val="15"/>
          <w:szCs w:val="15"/>
        </w:rPr>
      </w:pPr>
      <w:r>
        <w:rPr>
          <w:rFonts w:eastAsia="Times New Roman" w:cs="Arial" w:ascii="Arial" w:hAnsi="Arial"/>
          <w:sz w:val="15"/>
          <w:szCs w:val="15"/>
        </w:rPr>
        <w:t xml:space="preserve">h) </w:t>
      </w:r>
      <w:r>
        <w:rPr>
          <w:rFonts w:cs="Arial" w:ascii="Arial" w:hAnsi="Arial"/>
          <w:sz w:val="15"/>
          <w:szCs w:val="15"/>
        </w:rPr>
        <w:t>Omawia zagadnienia z zakresu anatomii, fizjologii i patologii stóp i kończyn dolnych, z uwzględnieniem dzieci, kobiet w ciąży, osób starszych i sportowców</w:t>
      </w:r>
    </w:p>
    <w:p>
      <w:pPr>
        <w:pStyle w:val="Nagwek5"/>
        <w:rPr>
          <w:rFonts w:ascii="Arial" w:hAnsi="Arial" w:eastAsia="Times New Roman" w:cs="Arial"/>
        </w:rPr>
      </w:pPr>
      <w:r>
        <w:rPr>
          <w:rFonts w:eastAsia="Times New Roman" w:cs="Arial" w:ascii="Arial" w:hAnsi="Arial"/>
        </w:rPr>
        <w:t>Kryteria weryfikacji</w:t>
      </w:r>
    </w:p>
    <w:p>
      <w:pPr>
        <w:pStyle w:val="Normalny2"/>
        <w:numPr>
          <w:ilvl w:val="0"/>
          <w:numId w:val="12"/>
        </w:numPr>
        <w:spacing w:before="0" w:after="120"/>
        <w:ind w:left="405" w:hanging="360"/>
        <w:contextualSpacing/>
        <w:rPr>
          <w:sz w:val="15"/>
          <w:szCs w:val="15"/>
        </w:rPr>
      </w:pPr>
      <w:r>
        <w:rPr>
          <w:sz w:val="15"/>
          <w:szCs w:val="15"/>
        </w:rPr>
        <w:t>omawia budowę układu kostnego, mięśniowego, naczyniowego i nerwowego,</w:t>
      </w:r>
    </w:p>
    <w:p>
      <w:pPr>
        <w:pStyle w:val="Normalny2"/>
        <w:numPr>
          <w:ilvl w:val="0"/>
          <w:numId w:val="12"/>
        </w:numPr>
        <w:spacing w:before="0" w:after="120"/>
        <w:ind w:left="405" w:hanging="360"/>
        <w:contextualSpacing/>
        <w:rPr>
          <w:sz w:val="15"/>
          <w:szCs w:val="15"/>
        </w:rPr>
      </w:pPr>
      <w:r>
        <w:rPr>
          <w:sz w:val="15"/>
          <w:szCs w:val="15"/>
        </w:rPr>
        <w:t>omawia fizjologiczny rozwój stopy pod kątem anatomicznym oraz funkcji ruchowej i motorycznej (m.in. definiuje fizjologiczne ruchy stopy podając normy zakresu ruchomości w stawie skokowym),</w:t>
      </w:r>
    </w:p>
    <w:p>
      <w:pPr>
        <w:pStyle w:val="Normalny2"/>
        <w:numPr>
          <w:ilvl w:val="0"/>
          <w:numId w:val="12"/>
        </w:numPr>
        <w:spacing w:before="0" w:after="120"/>
        <w:ind w:left="405" w:hanging="360"/>
        <w:contextualSpacing/>
        <w:rPr>
          <w:sz w:val="15"/>
          <w:szCs w:val="15"/>
        </w:rPr>
      </w:pPr>
      <w:r>
        <w:rPr>
          <w:sz w:val="15"/>
          <w:szCs w:val="15"/>
        </w:rPr>
        <w:t>omawia przyczyny i objawy patologii.</w:t>
      </w:r>
    </w:p>
    <w:p>
      <w:pPr>
        <w:pStyle w:val="Nagwek5"/>
        <w:rPr>
          <w:rFonts w:ascii="Arial" w:hAnsi="Arial" w:eastAsia="Times New Roman" w:cs="Arial"/>
        </w:rPr>
      </w:pPr>
      <w:r>
        <w:rPr>
          <w:rFonts w:eastAsia="Times New Roman" w:cs="Arial" w:ascii="Arial" w:hAnsi="Arial"/>
        </w:rPr>
        <w:t>Efekt uczenia</w:t>
      </w:r>
    </w:p>
    <w:p>
      <w:pPr>
        <w:pStyle w:val="Normal"/>
        <w:rPr>
          <w:rFonts w:ascii="Arial" w:hAnsi="Arial" w:eastAsia="Times New Roman" w:cs="Arial"/>
          <w:sz w:val="15"/>
          <w:szCs w:val="15"/>
        </w:rPr>
      </w:pPr>
      <w:r>
        <w:rPr>
          <w:rFonts w:eastAsia="Times New Roman" w:cs="Arial" w:ascii="Arial" w:hAnsi="Arial"/>
          <w:sz w:val="15"/>
          <w:szCs w:val="15"/>
        </w:rPr>
        <w:t xml:space="preserve">i) </w:t>
      </w:r>
      <w:r>
        <w:rPr>
          <w:rFonts w:cs="Arial" w:ascii="Arial" w:hAnsi="Arial"/>
          <w:sz w:val="15"/>
          <w:szCs w:val="15"/>
        </w:rPr>
        <w:t xml:space="preserve">Omawia pojęcia z zakresu korekcji i </w:t>
      </w:r>
      <w:r>
        <w:rPr>
          <w:rFonts w:cs="Arial" w:ascii="Arial" w:hAnsi="Arial"/>
          <w:color w:val="222222"/>
          <w:sz w:val="15"/>
          <w:szCs w:val="15"/>
          <w:highlight w:val="white"/>
        </w:rPr>
        <w:t>terapii wrastających oraz wkręcających paznokci</w:t>
      </w:r>
    </w:p>
    <w:p>
      <w:pPr>
        <w:pStyle w:val="Nagwek5"/>
        <w:rPr>
          <w:rFonts w:ascii="Arial" w:hAnsi="Arial" w:eastAsia="Times New Roman" w:cs="Arial"/>
        </w:rPr>
      </w:pPr>
      <w:r>
        <w:rPr>
          <w:rFonts w:eastAsia="Times New Roman" w:cs="Arial" w:ascii="Arial" w:hAnsi="Arial"/>
        </w:rPr>
        <w:t>Kryteria weryfikacji</w:t>
      </w:r>
    </w:p>
    <w:p>
      <w:pPr>
        <w:pStyle w:val="Normal"/>
        <w:jc w:val="both"/>
        <w:rPr>
          <w:rFonts w:ascii="Arial" w:hAnsi="Arial" w:eastAsia="Times New Roman" w:cs="Arial"/>
          <w:sz w:val="15"/>
          <w:szCs w:val="15"/>
        </w:rPr>
      </w:pPr>
      <w:r>
        <w:rPr>
          <w:rFonts w:eastAsia="Times New Roman" w:cs="Arial" w:ascii="Arial" w:hAnsi="Arial"/>
          <w:sz w:val="15"/>
          <w:szCs w:val="15"/>
        </w:rPr>
        <w:t xml:space="preserve">- omawia zagrożenia związane z pracą z klientami z problemami neurologicznymi, z podwyższonym ryzykiem upadku oraz występowaniem ruchów nieskoordynowanych, a także z klientami z cukrzycą i stanami niedokrwiennymi; - omawia sposoby pracy z klientami z problemami neurologicznymi, z podwyższonym ryzykiem upadku oraz występowaniem ruchów nieskoordynowanych, a także z klientami z cukrzycą </w:t>
        <w:br/>
        <w:t xml:space="preserve">i stanami niedokrwiennymi. </w:t>
      </w:r>
    </w:p>
    <w:p>
      <w:pPr>
        <w:pStyle w:val="Nagwek5"/>
        <w:rPr>
          <w:rFonts w:ascii="Arial" w:hAnsi="Arial" w:eastAsia="Times New Roman" w:cs="Arial"/>
        </w:rPr>
      </w:pPr>
      <w:r>
        <w:rPr>
          <w:rFonts w:eastAsia="Times New Roman" w:cs="Arial" w:ascii="Arial" w:hAnsi="Arial"/>
        </w:rPr>
        <w:t>Efekt uczenia</w:t>
      </w:r>
    </w:p>
    <w:p>
      <w:pPr>
        <w:pStyle w:val="Normal"/>
        <w:rPr>
          <w:rFonts w:ascii="Arial" w:hAnsi="Arial" w:eastAsia="Times New Roman" w:cs="Arial"/>
          <w:sz w:val="15"/>
          <w:szCs w:val="15"/>
        </w:rPr>
      </w:pPr>
      <w:r>
        <w:rPr>
          <w:rFonts w:eastAsia="Times New Roman" w:cs="Arial" w:ascii="Arial" w:hAnsi="Arial"/>
          <w:sz w:val="15"/>
          <w:szCs w:val="15"/>
        </w:rPr>
        <w:t>j) Omawia pojęcia z zakresu korekcji i terapii wrastających oraz wkręcających paznokci</w:t>
      </w:r>
    </w:p>
    <w:p>
      <w:pPr>
        <w:pStyle w:val="Nagwek5"/>
        <w:rPr>
          <w:rFonts w:ascii="Arial" w:hAnsi="Arial" w:eastAsia="Times New Roman" w:cs="Arial"/>
        </w:rPr>
      </w:pPr>
      <w:r>
        <w:rPr>
          <w:rFonts w:eastAsia="Times New Roman" w:cs="Arial" w:ascii="Arial" w:hAnsi="Arial"/>
        </w:rPr>
        <w:t>Kryteria weryfikacji</w:t>
      </w:r>
    </w:p>
    <w:p>
      <w:pPr>
        <w:pStyle w:val="Normalny2"/>
        <w:numPr>
          <w:ilvl w:val="0"/>
          <w:numId w:val="12"/>
        </w:numPr>
        <w:spacing w:before="0" w:after="120"/>
        <w:ind w:left="405" w:hanging="360"/>
        <w:contextualSpacing/>
        <w:jc w:val="both"/>
        <w:rPr>
          <w:sz w:val="15"/>
          <w:szCs w:val="15"/>
        </w:rPr>
      </w:pPr>
      <w:r>
        <w:rPr>
          <w:sz w:val="15"/>
          <w:szCs w:val="15"/>
        </w:rPr>
        <w:t>omawia inwazyjne i nieinwazyjne metody korygowania paznokcia wrastającego i wkręcającego (tamponada, klamry ortonyksyjne, zastosowanie urządzenia medycznego, metody chirurgiczne i chemiczne),</w:t>
      </w:r>
    </w:p>
    <w:p>
      <w:pPr>
        <w:pStyle w:val="Normalny2"/>
        <w:numPr>
          <w:ilvl w:val="0"/>
          <w:numId w:val="12"/>
        </w:numPr>
        <w:spacing w:before="0" w:after="120"/>
        <w:ind w:left="405" w:hanging="360"/>
        <w:contextualSpacing/>
        <w:jc w:val="both"/>
        <w:rPr>
          <w:sz w:val="15"/>
          <w:szCs w:val="15"/>
        </w:rPr>
      </w:pPr>
      <w:r>
        <w:rPr>
          <w:sz w:val="15"/>
          <w:szCs w:val="15"/>
        </w:rPr>
        <w:t xml:space="preserve">omawia wskazania i przeciwwskazania dla zastosowania poszczególnych metod korygowania paznokcia wrastającego </w:t>
        <w:br/>
        <w:t>i wkręcającego,</w:t>
      </w:r>
    </w:p>
    <w:p>
      <w:pPr>
        <w:pStyle w:val="Normalny2"/>
        <w:numPr>
          <w:ilvl w:val="0"/>
          <w:numId w:val="12"/>
        </w:numPr>
        <w:spacing w:before="0" w:after="120"/>
        <w:ind w:left="405" w:hanging="360"/>
        <w:contextualSpacing/>
        <w:jc w:val="both"/>
        <w:rPr>
          <w:sz w:val="15"/>
          <w:szCs w:val="15"/>
        </w:rPr>
      </w:pPr>
      <w:r>
        <w:rPr>
          <w:sz w:val="15"/>
          <w:szCs w:val="15"/>
        </w:rPr>
        <w:t>omawia zasady działania klamer ortonyksyjnych (zasadę dźwigni, siłę ciągu i siłę sprężystości).</w:t>
      </w:r>
    </w:p>
    <w:p>
      <w:pPr>
        <w:pStyle w:val="Normalny2"/>
        <w:spacing w:before="0" w:after="120"/>
        <w:ind w:left="405" w:hanging="0"/>
        <w:contextualSpacing/>
        <w:rPr>
          <w:sz w:val="15"/>
          <w:szCs w:val="15"/>
        </w:rPr>
      </w:pPr>
      <w:r>
        <w:rPr>
          <w:sz w:val="15"/>
          <w:szCs w:val="15"/>
        </w:rPr>
      </w:r>
    </w:p>
    <w:p>
      <w:pPr>
        <w:pStyle w:val="Nagwek5"/>
        <w:rPr>
          <w:rFonts w:ascii="Arial" w:hAnsi="Arial" w:eastAsia="Times New Roman" w:cs="Arial"/>
        </w:rPr>
      </w:pPr>
      <w:r>
        <w:rPr>
          <w:rFonts w:eastAsia="Times New Roman" w:cs="Arial" w:ascii="Arial" w:hAnsi="Arial"/>
        </w:rPr>
        <w:t>Efekt uczenia</w:t>
      </w:r>
    </w:p>
    <w:p>
      <w:pPr>
        <w:pStyle w:val="Normalny2"/>
        <w:spacing w:before="0" w:after="120"/>
        <w:contextualSpacing/>
        <w:rPr>
          <w:sz w:val="15"/>
          <w:szCs w:val="15"/>
        </w:rPr>
      </w:pPr>
      <w:r>
        <w:rPr>
          <w:sz w:val="15"/>
          <w:szCs w:val="15"/>
        </w:rPr>
        <w:t>k) Omawia zagadnienia związane z wykonywaniem zabiegów u klientów z grupy ryzyka</w:t>
      </w:r>
    </w:p>
    <w:p>
      <w:pPr>
        <w:pStyle w:val="Nagwek5"/>
        <w:rPr>
          <w:rFonts w:ascii="Arial" w:hAnsi="Arial" w:eastAsia="Times New Roman" w:cs="Arial"/>
        </w:rPr>
      </w:pPr>
      <w:r>
        <w:rPr>
          <w:rFonts w:eastAsia="Times New Roman" w:cs="Arial" w:ascii="Arial" w:hAnsi="Arial"/>
        </w:rPr>
        <w:t>Kryteria weryfikacji</w:t>
      </w:r>
    </w:p>
    <w:p>
      <w:pPr>
        <w:pStyle w:val="Normalny2"/>
        <w:numPr>
          <w:ilvl w:val="0"/>
          <w:numId w:val="12"/>
        </w:numPr>
        <w:spacing w:before="0" w:after="120"/>
        <w:ind w:left="405" w:hanging="360"/>
        <w:contextualSpacing/>
        <w:jc w:val="both"/>
        <w:rPr>
          <w:sz w:val="15"/>
          <w:szCs w:val="15"/>
        </w:rPr>
      </w:pPr>
      <w:r>
        <w:rPr>
          <w:sz w:val="15"/>
          <w:szCs w:val="15"/>
        </w:rPr>
        <w:t>omawia zagrożenia związane z pracą z klientami z problemami neurologicznymi, z podwyższonym ryzykiem upadku oraz występowaniem ruchów nieskoordynowanych, a także z klientami z cukrzycą i stanami niedokrwiennymi,</w:t>
      </w:r>
    </w:p>
    <w:p>
      <w:pPr>
        <w:pStyle w:val="Normalny2"/>
        <w:numPr>
          <w:ilvl w:val="0"/>
          <w:numId w:val="12"/>
        </w:numPr>
        <w:spacing w:before="0" w:after="120"/>
        <w:ind w:left="405" w:hanging="360"/>
        <w:contextualSpacing/>
        <w:jc w:val="both"/>
        <w:rPr>
          <w:sz w:val="15"/>
          <w:szCs w:val="15"/>
        </w:rPr>
      </w:pPr>
      <w:r>
        <w:rPr>
          <w:sz w:val="15"/>
          <w:szCs w:val="15"/>
        </w:rPr>
        <w:t>omawia sposoby pracy z klientami z problemami neurologicznymi, z podwyższonym ryzykiem upadku oraz występowaniem ruchów nieskoordynowanych, a także z klientami z cukrzycą i stanami niedokrwiennymi</w:t>
      </w:r>
      <w:r>
        <w:rPr>
          <w:rFonts w:eastAsia="Lato" w:cs="Lato" w:ascii="Lato" w:hAnsi="Lato"/>
          <w:sz w:val="15"/>
          <w:szCs w:val="15"/>
        </w:rPr>
        <w:t>.</w:t>
      </w:r>
    </w:p>
    <w:p>
      <w:pPr>
        <w:pStyle w:val="Nagwek5"/>
        <w:rPr>
          <w:rFonts w:ascii="Arial" w:hAnsi="Arial" w:eastAsia="Times New Roman" w:cs="Arial"/>
        </w:rPr>
      </w:pPr>
      <w:r>
        <w:rPr>
          <w:rFonts w:eastAsia="Times New Roman" w:cs="Arial" w:ascii="Arial" w:hAnsi="Arial"/>
        </w:rPr>
        <w:t>Efekt uczenia</w:t>
      </w:r>
    </w:p>
    <w:p>
      <w:pPr>
        <w:pStyle w:val="Normal"/>
        <w:rPr>
          <w:rFonts w:ascii="Arial" w:hAnsi="Arial" w:eastAsia="Times New Roman" w:cs="Arial"/>
          <w:sz w:val="15"/>
          <w:szCs w:val="15"/>
        </w:rPr>
      </w:pPr>
      <w:r>
        <w:rPr>
          <w:rFonts w:eastAsia="Times New Roman" w:cs="Arial" w:ascii="Arial" w:hAnsi="Arial"/>
          <w:sz w:val="15"/>
          <w:szCs w:val="15"/>
        </w:rPr>
        <w:t>k) Charakteryzuje narzędzia i materiały stosowane w terapii podologicznej</w:t>
      </w:r>
    </w:p>
    <w:p>
      <w:pPr>
        <w:pStyle w:val="Nagwek5"/>
        <w:rPr>
          <w:rFonts w:ascii="Arial" w:hAnsi="Arial" w:eastAsia="Times New Roman" w:cs="Arial"/>
        </w:rPr>
      </w:pPr>
      <w:r>
        <w:rPr>
          <w:rFonts w:eastAsia="Times New Roman" w:cs="Arial" w:ascii="Arial" w:hAnsi="Arial"/>
        </w:rPr>
        <w:t>Kryteria weryfikacji</w:t>
      </w:r>
    </w:p>
    <w:p>
      <w:pPr>
        <w:pStyle w:val="Normalny2"/>
        <w:numPr>
          <w:ilvl w:val="0"/>
          <w:numId w:val="12"/>
        </w:numPr>
        <w:spacing w:before="0" w:after="120"/>
        <w:ind w:left="405" w:hanging="360"/>
        <w:contextualSpacing/>
        <w:jc w:val="both"/>
        <w:rPr>
          <w:sz w:val="15"/>
          <w:szCs w:val="15"/>
        </w:rPr>
      </w:pPr>
      <w:r>
        <w:rPr>
          <w:sz w:val="15"/>
          <w:szCs w:val="15"/>
        </w:rPr>
        <w:t>omawia narzędzia i ich zastosowanie w terapii podologicznej,</w:t>
      </w:r>
    </w:p>
    <w:p>
      <w:pPr>
        <w:pStyle w:val="Normalny2"/>
        <w:numPr>
          <w:ilvl w:val="0"/>
          <w:numId w:val="12"/>
        </w:numPr>
        <w:spacing w:before="0" w:after="120"/>
        <w:ind w:left="405" w:hanging="360"/>
        <w:contextualSpacing/>
        <w:jc w:val="both"/>
        <w:rPr>
          <w:sz w:val="15"/>
          <w:szCs w:val="15"/>
        </w:rPr>
      </w:pPr>
      <w:r>
        <w:rPr>
          <w:sz w:val="15"/>
          <w:szCs w:val="15"/>
        </w:rPr>
        <w:t>omawia cechy oraz zastosowanie materiałów (opatrunkowe, odciążające, korygujące) stosowanych w terapii podologicznej,</w:t>
      </w:r>
    </w:p>
    <w:p>
      <w:pPr>
        <w:pStyle w:val="Normalny2"/>
        <w:numPr>
          <w:ilvl w:val="0"/>
          <w:numId w:val="12"/>
        </w:numPr>
        <w:spacing w:before="0" w:after="120"/>
        <w:ind w:left="405" w:hanging="360"/>
        <w:contextualSpacing/>
        <w:jc w:val="both"/>
        <w:rPr>
          <w:sz w:val="15"/>
          <w:szCs w:val="15"/>
        </w:rPr>
      </w:pPr>
      <w:r>
        <w:rPr>
          <w:sz w:val="15"/>
          <w:szCs w:val="15"/>
        </w:rPr>
        <w:t>wymienia rodzaje urządzeń stosowanych w gabinecie podologicznym,</w:t>
      </w:r>
    </w:p>
    <w:p>
      <w:pPr>
        <w:pStyle w:val="Normalny2"/>
        <w:numPr>
          <w:ilvl w:val="0"/>
          <w:numId w:val="12"/>
        </w:numPr>
        <w:spacing w:before="0" w:after="120"/>
        <w:ind w:left="405" w:hanging="360"/>
        <w:contextualSpacing/>
        <w:jc w:val="both"/>
        <w:rPr>
          <w:sz w:val="15"/>
          <w:szCs w:val="15"/>
        </w:rPr>
      </w:pPr>
      <w:r>
        <w:rPr>
          <w:sz w:val="15"/>
          <w:szCs w:val="15"/>
        </w:rPr>
        <w:t>charakteryzuje preparaty pielęgnacyjne, lecznicze i biobójcze.</w:t>
      </w:r>
    </w:p>
    <w:p>
      <w:pPr>
        <w:pStyle w:val="Nagwek3"/>
        <w:rPr>
          <w:rFonts w:ascii="Arial" w:hAnsi="Arial" w:eastAsia="Times New Roman" w:cs="Arial"/>
        </w:rPr>
      </w:pPr>
      <w:r>
        <w:rPr>
          <w:rFonts w:eastAsia="Times New Roman" w:cs="Arial" w:ascii="Arial" w:hAnsi="Arial"/>
        </w:rPr>
        <w:t>Zestaw</w:t>
      </w:r>
    </w:p>
    <w:p>
      <w:pPr>
        <w:pStyle w:val="Nagwek4"/>
        <w:rPr>
          <w:rFonts w:ascii="Arial" w:hAnsi="Arial" w:eastAsia="Times New Roman" w:cs="Arial"/>
        </w:rPr>
      </w:pPr>
      <w:r>
        <w:rPr>
          <w:rFonts w:eastAsia="Times New Roman" w:cs="Arial" w:ascii="Arial" w:hAnsi="Arial"/>
        </w:rPr>
        <w:t>Numer zestawu w kwalifikacji</w:t>
      </w:r>
    </w:p>
    <w:p>
      <w:pPr>
        <w:pStyle w:val="Normal"/>
        <w:rPr>
          <w:rFonts w:ascii="Arial" w:hAnsi="Arial" w:eastAsia="Times New Roman" w:cs="Arial"/>
          <w:sz w:val="15"/>
          <w:szCs w:val="15"/>
        </w:rPr>
      </w:pPr>
      <w:r>
        <w:rPr>
          <w:rFonts w:eastAsia="Times New Roman" w:cs="Arial" w:ascii="Arial" w:hAnsi="Arial"/>
          <w:sz w:val="15"/>
          <w:szCs w:val="15"/>
        </w:rPr>
        <w:t>2</w:t>
      </w:r>
    </w:p>
    <w:p>
      <w:pPr>
        <w:pStyle w:val="Nagwek4"/>
        <w:rPr>
          <w:rFonts w:ascii="Arial" w:hAnsi="Arial" w:eastAsia="Times New Roman" w:cs="Arial"/>
        </w:rPr>
      </w:pPr>
      <w:r>
        <w:rPr>
          <w:rFonts w:eastAsia="Times New Roman" w:cs="Arial" w:ascii="Arial" w:hAnsi="Arial"/>
        </w:rPr>
        <w:t>Nazwa zestawu</w:t>
      </w:r>
    </w:p>
    <w:p>
      <w:pPr>
        <w:pStyle w:val="Nagwek4"/>
        <w:rPr>
          <w:rFonts w:ascii="Arial" w:hAnsi="Arial" w:eastAsia="Lato" w:cs="Arial"/>
          <w:b w:val="false"/>
          <w:b w:val="false"/>
          <w:sz w:val="15"/>
          <w:szCs w:val="15"/>
        </w:rPr>
      </w:pPr>
      <w:r>
        <w:rPr>
          <w:rFonts w:cs="Arial" w:ascii="Arial" w:hAnsi="Arial"/>
          <w:b w:val="false"/>
          <w:sz w:val="15"/>
          <w:szCs w:val="15"/>
        </w:rPr>
        <w:t>Charakteryzowanie aspektów prawnych, etyka i rozwój zawodowy</w:t>
      </w:r>
      <w:r>
        <w:rPr>
          <w:rFonts w:eastAsia="Lato" w:cs="Arial" w:ascii="Arial" w:hAnsi="Arial"/>
          <w:b w:val="false"/>
          <w:sz w:val="15"/>
          <w:szCs w:val="15"/>
        </w:rPr>
        <w:t>.</w:t>
      </w:r>
    </w:p>
    <w:p>
      <w:pPr>
        <w:pStyle w:val="Nagwek4"/>
        <w:rPr>
          <w:rFonts w:ascii="Arial" w:hAnsi="Arial" w:eastAsia="Times New Roman" w:cs="Arial"/>
        </w:rPr>
      </w:pPr>
      <w:r>
        <w:rPr>
          <w:rFonts w:eastAsia="Times New Roman" w:cs="Arial" w:ascii="Arial" w:hAnsi="Arial"/>
        </w:rPr>
        <w:t>Poziom PRK</w:t>
      </w:r>
    </w:p>
    <w:p>
      <w:pPr>
        <w:pStyle w:val="Normal"/>
        <w:rPr>
          <w:rFonts w:ascii="Arial" w:hAnsi="Arial" w:eastAsia="Times New Roman" w:cs="Arial"/>
          <w:sz w:val="15"/>
          <w:szCs w:val="15"/>
        </w:rPr>
      </w:pPr>
      <w:r>
        <w:rPr>
          <w:rFonts w:eastAsia="Times New Roman" w:cs="Arial" w:ascii="Arial" w:hAnsi="Arial"/>
          <w:sz w:val="15"/>
          <w:szCs w:val="15"/>
        </w:rPr>
        <w:t>5</w:t>
      </w:r>
    </w:p>
    <w:p>
      <w:pPr>
        <w:pStyle w:val="Nagwek4"/>
        <w:rPr>
          <w:rFonts w:ascii="Arial" w:hAnsi="Arial" w:eastAsia="Times New Roman" w:cs="Arial"/>
        </w:rPr>
      </w:pPr>
      <w:r>
        <w:rPr>
          <w:rFonts w:eastAsia="Times New Roman" w:cs="Arial" w:ascii="Arial" w:hAnsi="Arial"/>
        </w:rPr>
        <w:t>Orientacyjny nakład pracy [godz]</w:t>
      </w:r>
    </w:p>
    <w:p>
      <w:pPr>
        <w:pStyle w:val="Normal"/>
        <w:rPr>
          <w:rFonts w:ascii="Arial" w:hAnsi="Arial" w:eastAsia="Times New Roman" w:cs="Arial"/>
          <w:sz w:val="15"/>
          <w:szCs w:val="15"/>
        </w:rPr>
      </w:pPr>
      <w:r>
        <w:rPr>
          <w:rFonts w:eastAsia="Times New Roman" w:cs="Arial" w:ascii="Arial" w:hAnsi="Arial"/>
          <w:sz w:val="15"/>
          <w:szCs w:val="15"/>
        </w:rPr>
        <w:t>50</w:t>
      </w:r>
    </w:p>
    <w:p>
      <w:pPr>
        <w:pStyle w:val="Nagwek4"/>
        <w:rPr>
          <w:rFonts w:ascii="Arial" w:hAnsi="Arial" w:eastAsia="Times New Roman" w:cs="Arial"/>
        </w:rPr>
      </w:pPr>
      <w:r>
        <w:rPr>
          <w:rFonts w:eastAsia="Times New Roman" w:cs="Arial" w:ascii="Arial" w:hAnsi="Arial"/>
        </w:rPr>
        <w:t>Rodzaj zestawu</w:t>
      </w:r>
    </w:p>
    <w:p>
      <w:pPr>
        <w:pStyle w:val="Normal"/>
        <w:rPr>
          <w:rFonts w:ascii="Arial" w:hAnsi="Arial" w:eastAsia="Times New Roman" w:cs="Arial"/>
          <w:sz w:val="15"/>
          <w:szCs w:val="15"/>
        </w:rPr>
      </w:pPr>
      <w:r>
        <w:rPr>
          <w:rFonts w:eastAsia="Times New Roman" w:cs="Arial" w:ascii="Arial" w:hAnsi="Arial"/>
          <w:sz w:val="15"/>
          <w:szCs w:val="15"/>
        </w:rPr>
        <w:t>obowiązkowy</w:t>
      </w:r>
    </w:p>
    <w:p>
      <w:pPr>
        <w:pStyle w:val="Nagwek4"/>
        <w:rPr>
          <w:rFonts w:ascii="Arial" w:hAnsi="Arial" w:eastAsia="Times New Roman" w:cs="Arial"/>
        </w:rPr>
      </w:pPr>
      <w:r>
        <w:rPr>
          <w:rFonts w:eastAsia="Times New Roman" w:cs="Arial" w:ascii="Arial" w:hAnsi="Arial"/>
        </w:rPr>
        <w:t>Poszczególne efekty uczenia się oraz kryteria weryfikacji ich osiągnięcia</w:t>
      </w:r>
    </w:p>
    <w:p>
      <w:pPr>
        <w:pStyle w:val="Nagwek5"/>
        <w:rPr>
          <w:rFonts w:ascii="Arial" w:hAnsi="Arial" w:eastAsia="Times New Roman" w:cs="Arial"/>
        </w:rPr>
      </w:pPr>
      <w:r>
        <w:rPr>
          <w:rFonts w:eastAsia="Times New Roman" w:cs="Arial" w:ascii="Arial" w:hAnsi="Arial"/>
        </w:rPr>
        <w:t>Efekt uczenia</w:t>
      </w:r>
    </w:p>
    <w:p>
      <w:pPr>
        <w:pStyle w:val="Normal"/>
        <w:rPr>
          <w:rFonts w:ascii="Arial" w:hAnsi="Arial" w:eastAsia="Times New Roman" w:cs="Arial"/>
          <w:sz w:val="15"/>
          <w:szCs w:val="15"/>
        </w:rPr>
      </w:pPr>
      <w:r>
        <w:rPr>
          <w:rFonts w:eastAsia="Times New Roman" w:cs="Arial" w:ascii="Arial" w:hAnsi="Arial"/>
          <w:sz w:val="15"/>
          <w:szCs w:val="15"/>
        </w:rPr>
        <w:t>a) Omawia zasady etyki w praktyce podologicznej</w:t>
      </w:r>
    </w:p>
    <w:p>
      <w:pPr>
        <w:pStyle w:val="Nagwek5"/>
        <w:rPr>
          <w:rFonts w:ascii="Arial" w:hAnsi="Arial" w:eastAsia="Times New Roman" w:cs="Arial"/>
        </w:rPr>
      </w:pPr>
      <w:r>
        <w:rPr>
          <w:rFonts w:eastAsia="Times New Roman" w:cs="Arial" w:ascii="Arial" w:hAnsi="Arial"/>
        </w:rPr>
        <w:t>Kryteria weryfikacji</w:t>
      </w:r>
    </w:p>
    <w:p>
      <w:pPr>
        <w:pStyle w:val="Normalny2"/>
        <w:numPr>
          <w:ilvl w:val="0"/>
          <w:numId w:val="13"/>
        </w:numPr>
        <w:spacing w:before="0" w:after="120"/>
        <w:ind w:left="402" w:hanging="357"/>
        <w:contextualSpacing/>
        <w:jc w:val="both"/>
        <w:rPr>
          <w:sz w:val="15"/>
          <w:szCs w:val="15"/>
          <w:highlight w:val="white"/>
        </w:rPr>
      </w:pPr>
      <w:r>
        <w:rPr>
          <w:sz w:val="15"/>
          <w:szCs w:val="15"/>
          <w:highlight w:val="white"/>
        </w:rPr>
        <w:t>omawia zasady etyki stosowane w praktyce podologicznej (m.in. działanie w najlepszym interesie klienta, dbałość o wizerunek osobowy, odpowiedzialność zawodowa, poufność, przestrzeganie zasad moralnych w relacji między podologami),</w:t>
      </w:r>
    </w:p>
    <w:p>
      <w:pPr>
        <w:pStyle w:val="Normalny2"/>
        <w:numPr>
          <w:ilvl w:val="0"/>
          <w:numId w:val="13"/>
        </w:numPr>
        <w:spacing w:before="0" w:after="120"/>
        <w:ind w:left="402" w:hanging="357"/>
        <w:contextualSpacing/>
        <w:jc w:val="both"/>
        <w:rPr>
          <w:sz w:val="15"/>
          <w:szCs w:val="15"/>
          <w:highlight w:val="white"/>
        </w:rPr>
      </w:pPr>
      <w:r>
        <w:rPr>
          <w:sz w:val="15"/>
          <w:szCs w:val="15"/>
          <w:highlight w:val="white"/>
        </w:rPr>
        <w:t>omawia holistyczny wymiar podologii,</w:t>
      </w:r>
    </w:p>
    <w:p>
      <w:pPr>
        <w:pStyle w:val="Normalny2"/>
        <w:numPr>
          <w:ilvl w:val="0"/>
          <w:numId w:val="13"/>
        </w:numPr>
        <w:spacing w:before="0" w:after="120"/>
        <w:ind w:left="402" w:hanging="357"/>
        <w:contextualSpacing/>
        <w:jc w:val="both"/>
        <w:rPr>
          <w:sz w:val="15"/>
          <w:szCs w:val="15"/>
          <w:highlight w:val="white"/>
        </w:rPr>
      </w:pPr>
      <w:r>
        <w:rPr>
          <w:sz w:val="15"/>
          <w:szCs w:val="15"/>
          <w:highlight w:val="white"/>
        </w:rPr>
        <w:t>omawia znaczenie norm etycznych, kulturowych i religijnych w praktyce podologicznej,</w:t>
      </w:r>
    </w:p>
    <w:p>
      <w:pPr>
        <w:pStyle w:val="Normalny2"/>
        <w:numPr>
          <w:ilvl w:val="0"/>
          <w:numId w:val="13"/>
        </w:numPr>
        <w:spacing w:before="0" w:after="120"/>
        <w:ind w:left="402" w:hanging="357"/>
        <w:contextualSpacing/>
        <w:jc w:val="both"/>
        <w:rPr>
          <w:sz w:val="15"/>
          <w:szCs w:val="15"/>
          <w:highlight w:val="white"/>
        </w:rPr>
      </w:pPr>
      <w:r>
        <w:rPr>
          <w:sz w:val="15"/>
          <w:szCs w:val="15"/>
          <w:highlight w:val="white"/>
        </w:rPr>
        <w:t>identyfikuje problemy bioetyczne w zakresie podologii oraz proponuje ich rozwiązania,</w:t>
      </w:r>
    </w:p>
    <w:p>
      <w:pPr>
        <w:pStyle w:val="Normalny2"/>
        <w:numPr>
          <w:ilvl w:val="0"/>
          <w:numId w:val="13"/>
        </w:numPr>
        <w:spacing w:before="0" w:after="120"/>
        <w:ind w:left="402" w:hanging="357"/>
        <w:contextualSpacing/>
        <w:jc w:val="both"/>
        <w:rPr>
          <w:sz w:val="15"/>
          <w:szCs w:val="15"/>
          <w:highlight w:val="white"/>
        </w:rPr>
      </w:pPr>
      <w:r>
        <w:rPr>
          <w:sz w:val="15"/>
          <w:szCs w:val="15"/>
          <w:highlight w:val="white"/>
        </w:rPr>
        <w:t>omawia sposoby dbania o wizerunek i dorobek zawodowy środowiska podologów.</w:t>
      </w:r>
    </w:p>
    <w:p>
      <w:pPr>
        <w:pStyle w:val="Nagwek5"/>
        <w:rPr>
          <w:rFonts w:ascii="Arial" w:hAnsi="Arial" w:eastAsia="Times New Roman" w:cs="Arial"/>
        </w:rPr>
      </w:pPr>
      <w:r>
        <w:rPr>
          <w:rFonts w:eastAsia="Times New Roman" w:cs="Arial" w:ascii="Arial" w:hAnsi="Arial"/>
        </w:rPr>
        <w:t>Efekt uczenia</w:t>
      </w:r>
    </w:p>
    <w:p>
      <w:pPr>
        <w:pStyle w:val="Normal"/>
        <w:rPr>
          <w:rFonts w:ascii="Arial" w:hAnsi="Arial" w:eastAsia="Times New Roman" w:cs="Arial"/>
          <w:sz w:val="15"/>
          <w:szCs w:val="15"/>
        </w:rPr>
      </w:pPr>
      <w:r>
        <w:rPr>
          <w:rFonts w:eastAsia="Times New Roman" w:cs="Arial" w:ascii="Arial" w:hAnsi="Arial"/>
          <w:sz w:val="15"/>
          <w:szCs w:val="15"/>
        </w:rPr>
        <w:t>b) Charakteryzuje prawodawstwo w zakresie prowadzonej praktyki podologicznej</w:t>
      </w:r>
    </w:p>
    <w:p>
      <w:pPr>
        <w:pStyle w:val="Nagwek5"/>
        <w:rPr>
          <w:rFonts w:ascii="Arial" w:hAnsi="Arial" w:eastAsia="Times New Roman" w:cs="Arial"/>
        </w:rPr>
      </w:pPr>
      <w:r>
        <w:rPr>
          <w:rFonts w:eastAsia="Times New Roman" w:cs="Arial" w:ascii="Arial" w:hAnsi="Arial"/>
        </w:rPr>
        <w:t>Kryteria weryfikacji</w:t>
      </w:r>
    </w:p>
    <w:p>
      <w:pPr>
        <w:pStyle w:val="Normalny2"/>
        <w:numPr>
          <w:ilvl w:val="0"/>
          <w:numId w:val="13"/>
        </w:numPr>
        <w:spacing w:before="0" w:after="120"/>
        <w:ind w:left="402" w:hanging="357"/>
        <w:contextualSpacing/>
        <w:jc w:val="both"/>
        <w:rPr>
          <w:sz w:val="15"/>
          <w:szCs w:val="15"/>
          <w:highlight w:val="white"/>
        </w:rPr>
      </w:pPr>
      <w:r>
        <w:rPr>
          <w:sz w:val="15"/>
          <w:szCs w:val="15"/>
          <w:highlight w:val="white"/>
        </w:rPr>
        <w:t>omawia obowiązujące przepisy prawne w zakresie prowadzenia praktyki podologicznej (m.in. ustawa o prawach klienta, ochrona danych osobowych),</w:t>
      </w:r>
    </w:p>
    <w:p>
      <w:pPr>
        <w:pStyle w:val="Normalny2"/>
        <w:numPr>
          <w:ilvl w:val="0"/>
          <w:numId w:val="13"/>
        </w:numPr>
        <w:spacing w:before="0" w:after="120"/>
        <w:ind w:left="402" w:hanging="357"/>
        <w:contextualSpacing/>
        <w:jc w:val="both"/>
        <w:rPr>
          <w:sz w:val="15"/>
          <w:szCs w:val="15"/>
          <w:highlight w:val="white"/>
        </w:rPr>
      </w:pPr>
      <w:r>
        <w:rPr>
          <w:sz w:val="15"/>
          <w:szCs w:val="15"/>
          <w:highlight w:val="white"/>
        </w:rPr>
        <w:t>omawia  obowiązujące przepisy prawa dotyczące zapobiegania oraz zwalczania zakażeń i chorób zakaźnych u ludzi,</w:t>
      </w:r>
    </w:p>
    <w:p>
      <w:pPr>
        <w:pStyle w:val="Normalny2"/>
        <w:numPr>
          <w:ilvl w:val="0"/>
          <w:numId w:val="13"/>
        </w:numPr>
        <w:spacing w:before="0" w:after="120"/>
        <w:ind w:left="402" w:hanging="357"/>
        <w:contextualSpacing/>
        <w:jc w:val="both"/>
        <w:rPr>
          <w:sz w:val="15"/>
          <w:szCs w:val="15"/>
          <w:highlight w:val="white"/>
        </w:rPr>
      </w:pPr>
      <w:r>
        <w:rPr>
          <w:sz w:val="15"/>
          <w:szCs w:val="15"/>
          <w:highlight w:val="white"/>
        </w:rPr>
        <w:t>określa zakres kompetencji praktyki podologicznej w odniesieniu do zawodów medycznych,</w:t>
      </w:r>
    </w:p>
    <w:p>
      <w:pPr>
        <w:pStyle w:val="Normalny2"/>
        <w:numPr>
          <w:ilvl w:val="0"/>
          <w:numId w:val="13"/>
        </w:numPr>
        <w:spacing w:before="0" w:after="120"/>
        <w:ind w:left="402" w:hanging="357"/>
        <w:contextualSpacing/>
        <w:jc w:val="both"/>
        <w:rPr>
          <w:sz w:val="15"/>
          <w:szCs w:val="15"/>
          <w:highlight w:val="white"/>
        </w:rPr>
      </w:pPr>
      <w:r>
        <w:rPr>
          <w:sz w:val="15"/>
          <w:szCs w:val="15"/>
          <w:highlight w:val="white"/>
        </w:rPr>
        <w:t>omawia zasady prowadzenia i przechowywania dokumentacji w gabinecie podologicznym w odniesieniu do obowiązującego prawa.</w:t>
      </w:r>
      <w:r>
        <w:rPr>
          <w:rFonts w:eastAsia="Times New Roman"/>
          <w:sz w:val="15"/>
          <w:szCs w:val="15"/>
        </w:rPr>
        <w:t xml:space="preserve"> </w:t>
      </w:r>
    </w:p>
    <w:p>
      <w:pPr>
        <w:pStyle w:val="Nagwek5"/>
        <w:rPr>
          <w:rFonts w:ascii="Arial" w:hAnsi="Arial" w:eastAsia="Times New Roman" w:cs="Arial"/>
        </w:rPr>
      </w:pPr>
      <w:r>
        <w:rPr>
          <w:rFonts w:eastAsia="Times New Roman" w:cs="Arial" w:ascii="Arial" w:hAnsi="Arial"/>
        </w:rPr>
        <w:t>Efekt uczenia</w:t>
      </w:r>
    </w:p>
    <w:p>
      <w:pPr>
        <w:pStyle w:val="Normal"/>
        <w:rPr>
          <w:rFonts w:ascii="Arial" w:hAnsi="Arial" w:eastAsia="Times New Roman" w:cs="Arial"/>
          <w:sz w:val="15"/>
          <w:szCs w:val="15"/>
        </w:rPr>
      </w:pPr>
      <w:r>
        <w:rPr>
          <w:rFonts w:eastAsia="Times New Roman" w:cs="Arial" w:ascii="Arial" w:hAnsi="Arial"/>
          <w:sz w:val="15"/>
          <w:szCs w:val="15"/>
        </w:rPr>
        <w:t>c) Charakteryzuje możliwości rozwoju kompetencji własnych w zakresie podologii</w:t>
      </w:r>
    </w:p>
    <w:p>
      <w:pPr>
        <w:pStyle w:val="Nagwek5"/>
        <w:rPr>
          <w:rFonts w:ascii="Arial" w:hAnsi="Arial" w:eastAsia="Times New Roman" w:cs="Arial"/>
        </w:rPr>
      </w:pPr>
      <w:r>
        <w:rPr>
          <w:rFonts w:eastAsia="Times New Roman" w:cs="Arial" w:ascii="Arial" w:hAnsi="Arial"/>
        </w:rPr>
        <w:t>Kryteria weryfikacji</w:t>
      </w:r>
    </w:p>
    <w:p>
      <w:pPr>
        <w:pStyle w:val="Normalny2"/>
        <w:numPr>
          <w:ilvl w:val="0"/>
          <w:numId w:val="13"/>
        </w:numPr>
        <w:spacing w:before="0" w:after="120"/>
        <w:ind w:left="402" w:hanging="357"/>
        <w:contextualSpacing/>
        <w:jc w:val="both"/>
        <w:rPr>
          <w:sz w:val="15"/>
          <w:szCs w:val="15"/>
          <w:highlight w:val="white"/>
        </w:rPr>
      </w:pPr>
      <w:r>
        <w:rPr>
          <w:sz w:val="15"/>
          <w:szCs w:val="15"/>
          <w:highlight w:val="white"/>
        </w:rPr>
        <w:t>wymienia sposoby i metody podnoszenia kompetencji w zakresie praktyki podologicznej,</w:t>
      </w:r>
    </w:p>
    <w:p>
      <w:pPr>
        <w:pStyle w:val="Normalny2"/>
        <w:numPr>
          <w:ilvl w:val="0"/>
          <w:numId w:val="13"/>
        </w:numPr>
        <w:spacing w:before="0" w:after="120"/>
        <w:ind w:left="402" w:hanging="357"/>
        <w:contextualSpacing/>
        <w:jc w:val="both"/>
        <w:rPr>
          <w:sz w:val="15"/>
          <w:szCs w:val="15"/>
          <w:highlight w:val="white"/>
        </w:rPr>
      </w:pPr>
      <w:r>
        <w:rPr>
          <w:sz w:val="15"/>
          <w:szCs w:val="15"/>
          <w:highlight w:val="white"/>
        </w:rPr>
        <w:t>wskazuje sposoby zapobiegania wypaleniu zawodowemu,</w:t>
      </w:r>
    </w:p>
    <w:p>
      <w:pPr>
        <w:pStyle w:val="Normalny2"/>
        <w:numPr>
          <w:ilvl w:val="0"/>
          <w:numId w:val="13"/>
        </w:numPr>
        <w:spacing w:before="0" w:after="120"/>
        <w:ind w:left="402" w:hanging="357"/>
        <w:contextualSpacing/>
        <w:jc w:val="both"/>
        <w:rPr>
          <w:sz w:val="15"/>
          <w:szCs w:val="15"/>
          <w:highlight w:val="white"/>
        </w:rPr>
      </w:pPr>
      <w:r>
        <w:rPr>
          <w:sz w:val="15"/>
          <w:szCs w:val="15"/>
          <w:highlight w:val="white"/>
        </w:rPr>
        <w:t>wymienia wydarzenia umożliwiające prezentowanie dorobku i wymiany dobrych praktyk w zakresie praktyki podologicznej w Polsce i za granicą.</w:t>
      </w:r>
    </w:p>
    <w:p>
      <w:pPr>
        <w:pStyle w:val="Nagwek3"/>
        <w:rPr>
          <w:rFonts w:ascii="Arial" w:hAnsi="Arial" w:eastAsia="Times New Roman" w:cs="Arial"/>
        </w:rPr>
      </w:pPr>
      <w:r>
        <w:rPr>
          <w:rFonts w:eastAsia="Times New Roman" w:cs="Arial" w:ascii="Arial" w:hAnsi="Arial"/>
        </w:rPr>
        <w:t>Zestaw</w:t>
      </w:r>
    </w:p>
    <w:p>
      <w:pPr>
        <w:pStyle w:val="Nagwek4"/>
        <w:rPr>
          <w:rFonts w:ascii="Arial" w:hAnsi="Arial" w:eastAsia="Times New Roman" w:cs="Arial"/>
        </w:rPr>
      </w:pPr>
      <w:r>
        <w:rPr>
          <w:rFonts w:eastAsia="Times New Roman" w:cs="Arial" w:ascii="Arial" w:hAnsi="Arial"/>
        </w:rPr>
        <w:t>Numer zestawu w kwalifikacji</w:t>
      </w:r>
    </w:p>
    <w:p>
      <w:pPr>
        <w:pStyle w:val="Normal"/>
        <w:rPr>
          <w:rFonts w:ascii="Arial" w:hAnsi="Arial" w:eastAsia="Times New Roman" w:cs="Arial"/>
          <w:sz w:val="15"/>
          <w:szCs w:val="15"/>
        </w:rPr>
      </w:pPr>
      <w:r>
        <w:rPr>
          <w:rFonts w:eastAsia="Times New Roman" w:cs="Arial" w:ascii="Arial" w:hAnsi="Arial"/>
          <w:sz w:val="15"/>
          <w:szCs w:val="15"/>
        </w:rPr>
        <w:t>3</w:t>
      </w:r>
    </w:p>
    <w:p>
      <w:pPr>
        <w:pStyle w:val="Nagwek4"/>
        <w:rPr>
          <w:rFonts w:ascii="Arial" w:hAnsi="Arial" w:eastAsia="Times New Roman" w:cs="Arial"/>
        </w:rPr>
      </w:pPr>
      <w:r>
        <w:rPr>
          <w:rFonts w:eastAsia="Times New Roman" w:cs="Arial" w:ascii="Arial" w:hAnsi="Arial"/>
        </w:rPr>
        <w:t>Nazwa zestawu</w:t>
      </w:r>
    </w:p>
    <w:p>
      <w:pPr>
        <w:pStyle w:val="Nagwek4"/>
        <w:jc w:val="both"/>
        <w:rPr>
          <w:rFonts w:ascii="Arial" w:hAnsi="Arial" w:cs="Arial"/>
          <w:b w:val="false"/>
          <w:b w:val="false"/>
          <w:sz w:val="15"/>
          <w:szCs w:val="15"/>
        </w:rPr>
      </w:pPr>
      <w:r>
        <w:rPr>
          <w:rFonts w:cs="Arial" w:ascii="Arial" w:hAnsi="Arial"/>
          <w:b w:val="false"/>
          <w:sz w:val="15"/>
          <w:szCs w:val="15"/>
          <w:highlight w:val="white"/>
        </w:rPr>
        <w:t>Charakteryzowanie zagadnień związanych z przestrzeganiem higieny i bezpieczeństwa pracy w gabinecie podologicznym.</w:t>
      </w:r>
    </w:p>
    <w:p>
      <w:pPr>
        <w:pStyle w:val="Nagwek4"/>
        <w:rPr>
          <w:rFonts w:ascii="Arial" w:hAnsi="Arial" w:eastAsia="Times New Roman" w:cs="Arial"/>
        </w:rPr>
      </w:pPr>
      <w:r>
        <w:rPr>
          <w:rFonts w:eastAsia="Times New Roman" w:cs="Arial" w:ascii="Arial" w:hAnsi="Arial"/>
        </w:rPr>
        <w:t>Poziom PRK</w:t>
      </w:r>
    </w:p>
    <w:p>
      <w:pPr>
        <w:pStyle w:val="Normal"/>
        <w:rPr>
          <w:rFonts w:ascii="Arial" w:hAnsi="Arial" w:eastAsia="Times New Roman" w:cs="Arial"/>
          <w:sz w:val="15"/>
          <w:szCs w:val="15"/>
        </w:rPr>
      </w:pPr>
      <w:r>
        <w:rPr>
          <w:rFonts w:eastAsia="Times New Roman" w:cs="Arial" w:ascii="Arial" w:hAnsi="Arial"/>
          <w:sz w:val="15"/>
          <w:szCs w:val="15"/>
        </w:rPr>
        <w:t>5</w:t>
      </w:r>
    </w:p>
    <w:p>
      <w:pPr>
        <w:pStyle w:val="Nagwek4"/>
        <w:rPr>
          <w:rFonts w:ascii="Arial" w:hAnsi="Arial" w:eastAsia="Times New Roman" w:cs="Arial"/>
        </w:rPr>
      </w:pPr>
      <w:r>
        <w:rPr>
          <w:rFonts w:eastAsia="Times New Roman" w:cs="Arial" w:ascii="Arial" w:hAnsi="Arial"/>
        </w:rPr>
        <w:t>Orientacyjny nakład pracy [godz]</w:t>
      </w:r>
    </w:p>
    <w:p>
      <w:pPr>
        <w:pStyle w:val="Normal"/>
        <w:rPr>
          <w:rFonts w:ascii="Arial" w:hAnsi="Arial" w:eastAsia="Times New Roman" w:cs="Arial"/>
          <w:sz w:val="15"/>
          <w:szCs w:val="15"/>
        </w:rPr>
      </w:pPr>
      <w:r>
        <w:rPr>
          <w:rFonts w:eastAsia="Times New Roman" w:cs="Arial" w:ascii="Arial" w:hAnsi="Arial"/>
          <w:sz w:val="15"/>
          <w:szCs w:val="15"/>
        </w:rPr>
        <w:t>50</w:t>
      </w:r>
    </w:p>
    <w:p>
      <w:pPr>
        <w:pStyle w:val="Nagwek4"/>
        <w:rPr>
          <w:rFonts w:ascii="Arial" w:hAnsi="Arial" w:eastAsia="Times New Roman" w:cs="Arial"/>
        </w:rPr>
      </w:pPr>
      <w:r>
        <w:rPr>
          <w:rFonts w:eastAsia="Times New Roman" w:cs="Arial" w:ascii="Arial" w:hAnsi="Arial"/>
        </w:rPr>
        <w:t>Rodzaj zestawu</w:t>
      </w:r>
    </w:p>
    <w:p>
      <w:pPr>
        <w:pStyle w:val="Normal"/>
        <w:rPr>
          <w:rFonts w:ascii="Arial" w:hAnsi="Arial" w:eastAsia="Times New Roman" w:cs="Arial"/>
          <w:sz w:val="15"/>
          <w:szCs w:val="15"/>
        </w:rPr>
      </w:pPr>
      <w:r>
        <w:rPr>
          <w:rFonts w:eastAsia="Times New Roman" w:cs="Arial" w:ascii="Arial" w:hAnsi="Arial"/>
          <w:sz w:val="15"/>
          <w:szCs w:val="15"/>
        </w:rPr>
        <w:t>obowiązkowy</w:t>
      </w:r>
    </w:p>
    <w:p>
      <w:pPr>
        <w:pStyle w:val="Nagwek4"/>
        <w:rPr>
          <w:rFonts w:ascii="Arial" w:hAnsi="Arial" w:eastAsia="Times New Roman" w:cs="Arial"/>
        </w:rPr>
      </w:pPr>
      <w:r>
        <w:rPr>
          <w:rFonts w:eastAsia="Times New Roman" w:cs="Arial" w:ascii="Arial" w:hAnsi="Arial"/>
        </w:rPr>
        <w:t>Poszczególne efekty uczenia się oraz kryteria weryfikacji ich osiągnięcia</w:t>
      </w:r>
    </w:p>
    <w:p>
      <w:pPr>
        <w:pStyle w:val="Nagwek5"/>
        <w:rPr>
          <w:rFonts w:ascii="Arial" w:hAnsi="Arial" w:eastAsia="Times New Roman" w:cs="Arial"/>
        </w:rPr>
      </w:pPr>
      <w:r>
        <w:rPr>
          <w:rFonts w:eastAsia="Times New Roman" w:cs="Arial" w:ascii="Arial" w:hAnsi="Arial"/>
        </w:rPr>
        <w:t>Efekt uczenia</w:t>
      </w:r>
    </w:p>
    <w:p>
      <w:pPr>
        <w:pStyle w:val="Normal"/>
        <w:jc w:val="both"/>
        <w:rPr>
          <w:rFonts w:ascii="Arial" w:hAnsi="Arial" w:eastAsia="Times New Roman" w:cs="Arial"/>
          <w:sz w:val="15"/>
          <w:szCs w:val="15"/>
        </w:rPr>
      </w:pPr>
      <w:r>
        <w:rPr>
          <w:rFonts w:eastAsia="Times New Roman" w:cs="Arial" w:ascii="Arial" w:hAnsi="Arial"/>
          <w:sz w:val="15"/>
          <w:szCs w:val="15"/>
        </w:rPr>
        <w:t>a) Omawia zasady BHP, aseptyki i antyseptyki pracy w gabinecie podologicznym stacjonarnym i mobilnym</w:t>
      </w:r>
    </w:p>
    <w:p>
      <w:pPr>
        <w:pStyle w:val="Nagwek5"/>
        <w:rPr>
          <w:rFonts w:ascii="Arial" w:hAnsi="Arial" w:eastAsia="Times New Roman" w:cs="Arial"/>
        </w:rPr>
      </w:pPr>
      <w:r>
        <w:rPr>
          <w:rFonts w:eastAsia="Times New Roman" w:cs="Arial" w:ascii="Arial" w:hAnsi="Arial"/>
        </w:rPr>
        <w:t>Kryteria weryfikacji</w:t>
      </w:r>
    </w:p>
    <w:p>
      <w:pPr>
        <w:pStyle w:val="Normalny2"/>
        <w:numPr>
          <w:ilvl w:val="0"/>
          <w:numId w:val="14"/>
        </w:numPr>
        <w:spacing w:before="0" w:after="120"/>
        <w:ind w:left="402" w:hanging="357"/>
        <w:contextualSpacing/>
        <w:jc w:val="both"/>
        <w:rPr>
          <w:sz w:val="15"/>
          <w:szCs w:val="15"/>
          <w:highlight w:val="white"/>
        </w:rPr>
      </w:pPr>
      <w:r>
        <w:rPr>
          <w:sz w:val="15"/>
          <w:szCs w:val="15"/>
          <w:highlight w:val="white"/>
        </w:rPr>
        <w:t>definiuje pojęcia takie jak: naruszenie ciągłości tkanek, zakażenie, choroba zakaźna, biologiczny czynnik chorobotwórczy, dezynfekcja, sterylizacja, dekontaminacja, odpady medyczne, odpady niebezpieczne, odpady komunalne,</w:t>
      </w:r>
    </w:p>
    <w:p>
      <w:pPr>
        <w:pStyle w:val="Normalny2"/>
        <w:numPr>
          <w:ilvl w:val="0"/>
          <w:numId w:val="14"/>
        </w:numPr>
        <w:spacing w:before="0" w:after="120"/>
        <w:ind w:left="402" w:hanging="357"/>
        <w:contextualSpacing/>
        <w:jc w:val="both"/>
        <w:rPr>
          <w:sz w:val="15"/>
          <w:szCs w:val="15"/>
          <w:highlight w:val="white"/>
        </w:rPr>
      </w:pPr>
      <w:r>
        <w:rPr>
          <w:sz w:val="15"/>
          <w:szCs w:val="15"/>
          <w:highlight w:val="white"/>
        </w:rPr>
        <w:t>wymienia zasady BHP zgodnie z obowiązującym prawem dotyczącym wykonywania zabiegów,</w:t>
      </w:r>
    </w:p>
    <w:p>
      <w:pPr>
        <w:pStyle w:val="Normalny2"/>
        <w:numPr>
          <w:ilvl w:val="0"/>
          <w:numId w:val="14"/>
        </w:numPr>
        <w:spacing w:before="0" w:after="120"/>
        <w:ind w:left="402" w:hanging="357"/>
        <w:contextualSpacing/>
        <w:jc w:val="both"/>
        <w:rPr>
          <w:sz w:val="15"/>
          <w:szCs w:val="15"/>
          <w:highlight w:val="white"/>
        </w:rPr>
      </w:pPr>
      <w:r>
        <w:rPr>
          <w:sz w:val="15"/>
          <w:szCs w:val="15"/>
          <w:highlight w:val="white"/>
        </w:rPr>
        <w:t>omawia środki ochrony indywidualnej stosowane podczas przygotowania preparatów biobójczych i przeprowadzania zabiegów podologicznych, uwzględniając częstotliwość ich wymiany, sposób postępowania z nimi po zakończonej pracy itd.,</w:t>
      </w:r>
    </w:p>
    <w:p>
      <w:pPr>
        <w:pStyle w:val="Normalny2"/>
        <w:numPr>
          <w:ilvl w:val="0"/>
          <w:numId w:val="14"/>
        </w:numPr>
        <w:spacing w:before="0" w:after="120"/>
        <w:ind w:left="402" w:hanging="357"/>
        <w:contextualSpacing/>
        <w:jc w:val="both"/>
        <w:rPr>
          <w:sz w:val="15"/>
          <w:szCs w:val="15"/>
          <w:highlight w:val="white"/>
        </w:rPr>
      </w:pPr>
      <w:r>
        <w:rPr>
          <w:sz w:val="15"/>
          <w:szCs w:val="15"/>
          <w:highlight w:val="white"/>
        </w:rPr>
        <w:t xml:space="preserve">omawia zasadę ciągu technologicznego, procedurę mycia, dezynfekcji i sterylizacji narzędzi oraz sprzętu wielokrotnego użytku </w:t>
        <w:br/>
        <w:t>i procedury ich przechowywania,</w:t>
      </w:r>
    </w:p>
    <w:p>
      <w:pPr>
        <w:pStyle w:val="Normalny2"/>
        <w:numPr>
          <w:ilvl w:val="0"/>
          <w:numId w:val="14"/>
        </w:numPr>
        <w:spacing w:before="0" w:after="120"/>
        <w:ind w:left="402" w:hanging="357"/>
        <w:contextualSpacing/>
        <w:jc w:val="both"/>
        <w:rPr>
          <w:sz w:val="15"/>
          <w:szCs w:val="15"/>
          <w:highlight w:val="white"/>
        </w:rPr>
      </w:pPr>
      <w:r>
        <w:rPr>
          <w:sz w:val="15"/>
          <w:szCs w:val="15"/>
          <w:highlight w:val="white"/>
        </w:rPr>
        <w:t xml:space="preserve">omawia procedury dezynfekcji powierzchni skażonych materiałem organicznym oraz sposoby postępowania po zranieniu </w:t>
        <w:br/>
        <w:t>lub kontakcie z materiałem zakaźnym,</w:t>
      </w:r>
    </w:p>
    <w:p>
      <w:pPr>
        <w:pStyle w:val="Normalny2"/>
        <w:numPr>
          <w:ilvl w:val="0"/>
          <w:numId w:val="14"/>
        </w:numPr>
        <w:spacing w:before="0" w:after="120"/>
        <w:ind w:left="402" w:hanging="357"/>
        <w:contextualSpacing/>
        <w:jc w:val="both"/>
        <w:rPr>
          <w:sz w:val="15"/>
          <w:szCs w:val="15"/>
          <w:highlight w:val="white"/>
        </w:rPr>
      </w:pPr>
      <w:r>
        <w:rPr>
          <w:sz w:val="15"/>
          <w:szCs w:val="15"/>
          <w:highlight w:val="white"/>
        </w:rPr>
        <w:t>omawia procedurę mycia i dezynfekcji twardych, zmywalnych powierzchni oraz sposób i częstotliwość wykonywania danej procedury,</w:t>
      </w:r>
    </w:p>
    <w:p>
      <w:pPr>
        <w:pStyle w:val="Normalny2"/>
        <w:numPr>
          <w:ilvl w:val="0"/>
          <w:numId w:val="14"/>
        </w:numPr>
        <w:spacing w:before="0" w:after="120"/>
        <w:ind w:left="402" w:hanging="357"/>
        <w:contextualSpacing/>
        <w:jc w:val="both"/>
        <w:rPr>
          <w:sz w:val="15"/>
          <w:szCs w:val="15"/>
          <w:highlight w:val="white"/>
        </w:rPr>
      </w:pPr>
      <w:r>
        <w:rPr>
          <w:sz w:val="15"/>
          <w:szCs w:val="15"/>
          <w:highlight w:val="white"/>
        </w:rPr>
        <w:t>wymienia sposoby postępowania ze sprzętem jednorazowego użytku po zakończeniu zabiegu,</w:t>
      </w:r>
    </w:p>
    <w:p>
      <w:pPr>
        <w:pStyle w:val="Normalny2"/>
        <w:numPr>
          <w:ilvl w:val="0"/>
          <w:numId w:val="14"/>
        </w:numPr>
        <w:spacing w:before="0" w:after="120"/>
        <w:ind w:left="402" w:hanging="357"/>
        <w:contextualSpacing/>
        <w:jc w:val="both"/>
        <w:rPr>
          <w:sz w:val="15"/>
          <w:szCs w:val="15"/>
          <w:highlight w:val="white"/>
        </w:rPr>
      </w:pPr>
      <w:r>
        <w:rPr>
          <w:sz w:val="15"/>
          <w:szCs w:val="15"/>
          <w:highlight w:val="white"/>
        </w:rPr>
        <w:t>omawia procedurę postępowania z brudną bielizną i wielokrotnego użytku,</w:t>
      </w:r>
    </w:p>
    <w:p>
      <w:pPr>
        <w:pStyle w:val="Normalny2"/>
        <w:numPr>
          <w:ilvl w:val="0"/>
          <w:numId w:val="14"/>
        </w:numPr>
        <w:spacing w:before="0" w:after="120"/>
        <w:ind w:left="402" w:hanging="357"/>
        <w:contextualSpacing/>
        <w:jc w:val="both"/>
        <w:rPr>
          <w:sz w:val="15"/>
          <w:szCs w:val="15"/>
          <w:highlight w:val="white"/>
        </w:rPr>
      </w:pPr>
      <w:r>
        <w:rPr>
          <w:sz w:val="15"/>
          <w:szCs w:val="15"/>
          <w:highlight w:val="white"/>
        </w:rPr>
        <w:t>omawia procedurę dekontaminacji pomieszczeń i urządzeń m.in.  urządzeń sanitarnych, sprzętów meblowych, sprzętów specjalistycznych oraz innych powierzchni: podłogi, drzwi, okna, kafelki itp.,</w:t>
      </w:r>
    </w:p>
    <w:p>
      <w:pPr>
        <w:pStyle w:val="Normalny2"/>
        <w:numPr>
          <w:ilvl w:val="0"/>
          <w:numId w:val="14"/>
        </w:numPr>
        <w:spacing w:before="0" w:after="120"/>
        <w:ind w:left="402" w:hanging="357"/>
        <w:contextualSpacing/>
        <w:jc w:val="both"/>
        <w:rPr>
          <w:sz w:val="15"/>
          <w:szCs w:val="15"/>
          <w:highlight w:val="white"/>
        </w:rPr>
      </w:pPr>
      <w:r>
        <w:rPr>
          <w:sz w:val="15"/>
          <w:szCs w:val="15"/>
          <w:highlight w:val="white"/>
        </w:rPr>
        <w:t>wymienia dokumenty techniczne, sanitarne, BHP wymagane prawem w gabinecie podologicznym (m.in. instrukcję sterylizacji, certyfikaty sprzętu, instrukcję obsługi sprzętu, instrukcję mycia rąk, Kartę Charakterystyki Produktów Niebezpiecznych),</w:t>
      </w:r>
    </w:p>
    <w:p>
      <w:pPr>
        <w:pStyle w:val="Normalny2"/>
        <w:numPr>
          <w:ilvl w:val="0"/>
          <w:numId w:val="14"/>
        </w:numPr>
        <w:spacing w:before="0" w:after="120"/>
        <w:ind w:left="402" w:hanging="357"/>
        <w:contextualSpacing/>
        <w:jc w:val="both"/>
        <w:rPr>
          <w:sz w:val="15"/>
          <w:szCs w:val="15"/>
          <w:highlight w:val="white"/>
        </w:rPr>
      </w:pPr>
      <w:r>
        <w:rPr>
          <w:sz w:val="15"/>
          <w:szCs w:val="15"/>
          <w:highlight w:val="white"/>
        </w:rPr>
        <w:t>omawia zasady obsługi i konserwacji sprzętu oraz narzędzi w gabinecie podologicznym,</w:t>
      </w:r>
    </w:p>
    <w:p>
      <w:pPr>
        <w:pStyle w:val="Normalny2"/>
        <w:numPr>
          <w:ilvl w:val="0"/>
          <w:numId w:val="14"/>
        </w:numPr>
        <w:spacing w:before="0" w:after="120"/>
        <w:ind w:left="402" w:hanging="357"/>
        <w:contextualSpacing/>
        <w:jc w:val="both"/>
        <w:rPr>
          <w:sz w:val="15"/>
          <w:szCs w:val="15"/>
          <w:highlight w:val="white"/>
        </w:rPr>
      </w:pPr>
      <w:r>
        <w:rPr>
          <w:sz w:val="15"/>
          <w:szCs w:val="15"/>
          <w:highlight w:val="white"/>
        </w:rPr>
        <w:t>omawia zasady postępowania z odpadami komunalnymi i medycznymi.</w:t>
      </w:r>
    </w:p>
    <w:p>
      <w:pPr>
        <w:pStyle w:val="Nagwek5"/>
        <w:rPr>
          <w:rFonts w:ascii="Arial" w:hAnsi="Arial" w:eastAsia="Times New Roman" w:cs="Arial"/>
        </w:rPr>
      </w:pPr>
      <w:r>
        <w:rPr>
          <w:rFonts w:eastAsia="Times New Roman" w:cs="Arial" w:ascii="Arial" w:hAnsi="Arial"/>
        </w:rPr>
        <w:t>Efekt uczenia</w:t>
      </w:r>
    </w:p>
    <w:p>
      <w:pPr>
        <w:pStyle w:val="Normal"/>
        <w:rPr>
          <w:rFonts w:ascii="Arial" w:hAnsi="Arial" w:eastAsia="Times New Roman" w:cs="Arial"/>
          <w:sz w:val="15"/>
          <w:szCs w:val="15"/>
        </w:rPr>
      </w:pPr>
      <w:r>
        <w:rPr>
          <w:rFonts w:eastAsia="Times New Roman" w:cs="Arial" w:ascii="Arial" w:hAnsi="Arial"/>
          <w:sz w:val="15"/>
          <w:szCs w:val="15"/>
        </w:rPr>
        <w:t>b) Omawia czynniki ryzyka i choroby w zawodzie podologa</w:t>
      </w:r>
    </w:p>
    <w:p>
      <w:pPr>
        <w:pStyle w:val="Nagwek5"/>
        <w:rPr>
          <w:rFonts w:ascii="Arial" w:hAnsi="Arial" w:eastAsia="Times New Roman" w:cs="Arial"/>
        </w:rPr>
      </w:pPr>
      <w:r>
        <w:rPr>
          <w:rFonts w:eastAsia="Times New Roman" w:cs="Arial" w:ascii="Arial" w:hAnsi="Arial"/>
        </w:rPr>
        <w:t>Kryteria weryfikacji</w:t>
      </w:r>
    </w:p>
    <w:p>
      <w:pPr>
        <w:pStyle w:val="Normalny2"/>
        <w:numPr>
          <w:ilvl w:val="0"/>
          <w:numId w:val="14"/>
        </w:numPr>
        <w:spacing w:before="0" w:after="120"/>
        <w:ind w:left="402" w:hanging="357"/>
        <w:contextualSpacing/>
        <w:jc w:val="both"/>
        <w:rPr>
          <w:sz w:val="15"/>
          <w:szCs w:val="15"/>
          <w:highlight w:val="white"/>
        </w:rPr>
      </w:pPr>
      <w:r>
        <w:rPr>
          <w:sz w:val="15"/>
          <w:szCs w:val="15"/>
          <w:highlight w:val="white"/>
        </w:rPr>
        <w:t>wymienia czynniki ryzyka w praktyce podologicznej,</w:t>
      </w:r>
    </w:p>
    <w:p>
      <w:pPr>
        <w:pStyle w:val="Normalny2"/>
        <w:numPr>
          <w:ilvl w:val="0"/>
          <w:numId w:val="14"/>
        </w:numPr>
        <w:spacing w:before="0" w:after="120"/>
        <w:ind w:left="402" w:hanging="357"/>
        <w:contextualSpacing/>
        <w:jc w:val="both"/>
        <w:rPr>
          <w:sz w:val="15"/>
          <w:szCs w:val="15"/>
          <w:highlight w:val="white"/>
        </w:rPr>
      </w:pPr>
      <w:r>
        <w:rPr>
          <w:sz w:val="15"/>
          <w:szCs w:val="15"/>
          <w:highlight w:val="white"/>
        </w:rPr>
        <w:t>charakteryzuje pojęcie pyłu mikrobiologicznego i omawia drogi jego przenoszenia,</w:t>
      </w:r>
    </w:p>
    <w:p>
      <w:pPr>
        <w:pStyle w:val="Normalny2"/>
        <w:numPr>
          <w:ilvl w:val="0"/>
          <w:numId w:val="14"/>
        </w:numPr>
        <w:spacing w:before="0" w:after="120"/>
        <w:ind w:left="402" w:hanging="357"/>
        <w:contextualSpacing/>
        <w:jc w:val="both"/>
        <w:rPr>
          <w:sz w:val="15"/>
          <w:szCs w:val="15"/>
          <w:highlight w:val="white"/>
        </w:rPr>
      </w:pPr>
      <w:r>
        <w:rPr>
          <w:sz w:val="15"/>
          <w:szCs w:val="15"/>
          <w:highlight w:val="white"/>
        </w:rPr>
        <w:t>wymienia i opisuje  ryzyko występowania bakterii, grzybów i wirusów w workach od frezarek oraz unoszącego się pyłu (np.  HPV, Staphylococcus epidermidis Candida species, Streptococcus pyogenes, beta haemolytic streptococcus Dermatophytes, Streptococcus faecalis, Other staphylococci and streptococci, Micrococci Bacillus sp., Diptheroid bacilli, Coliforms),</w:t>
      </w:r>
    </w:p>
    <w:p>
      <w:pPr>
        <w:pStyle w:val="Normalny2"/>
        <w:numPr>
          <w:ilvl w:val="0"/>
          <w:numId w:val="14"/>
        </w:numPr>
        <w:spacing w:before="0" w:after="120"/>
        <w:ind w:left="402" w:hanging="357"/>
        <w:contextualSpacing/>
        <w:jc w:val="both"/>
        <w:rPr>
          <w:sz w:val="15"/>
          <w:szCs w:val="15"/>
          <w:highlight w:val="white"/>
        </w:rPr>
      </w:pPr>
      <w:r>
        <w:rPr>
          <w:sz w:val="15"/>
          <w:szCs w:val="15"/>
          <w:highlight w:val="white"/>
        </w:rPr>
        <w:t>wymienia i opisuje zaburzenia mięśniowo-szkieletowe, które występują w wyniku wymuszonych pozycji pracy i obciążenia pracą,</w:t>
      </w:r>
    </w:p>
    <w:p>
      <w:pPr>
        <w:pStyle w:val="Normalny2"/>
        <w:numPr>
          <w:ilvl w:val="0"/>
          <w:numId w:val="14"/>
        </w:numPr>
        <w:spacing w:before="0" w:after="120"/>
        <w:ind w:left="402" w:hanging="357"/>
        <w:contextualSpacing/>
        <w:jc w:val="both"/>
        <w:rPr>
          <w:sz w:val="15"/>
          <w:szCs w:val="15"/>
          <w:highlight w:val="white"/>
        </w:rPr>
      </w:pPr>
      <w:r>
        <w:rPr>
          <w:sz w:val="15"/>
          <w:szCs w:val="15"/>
          <w:highlight w:val="white"/>
        </w:rPr>
        <w:t>opisuje alergie i podrażnienia występujące w praktyce podologicznej (np. alergie kontaktowe i podrażnienia skóry i błon śluzowych, spojówek, górnych dróg oddechowych),</w:t>
      </w:r>
    </w:p>
    <w:p>
      <w:pPr>
        <w:pStyle w:val="Normalny2"/>
        <w:numPr>
          <w:ilvl w:val="0"/>
          <w:numId w:val="14"/>
        </w:numPr>
        <w:spacing w:before="0" w:after="120"/>
        <w:ind w:left="402" w:hanging="357"/>
        <w:contextualSpacing/>
        <w:jc w:val="both"/>
        <w:rPr>
          <w:sz w:val="15"/>
          <w:szCs w:val="15"/>
          <w:highlight w:val="white"/>
        </w:rPr>
      </w:pPr>
      <w:r>
        <w:rPr>
          <w:sz w:val="15"/>
          <w:szCs w:val="15"/>
          <w:highlight w:val="white"/>
        </w:rPr>
        <w:t>wymienia i opisuje wirusy przenoszone przez krew (np. zapalenie wątroby typu B lub C, HIV),</w:t>
      </w:r>
    </w:p>
    <w:p>
      <w:pPr>
        <w:pStyle w:val="Normalny2"/>
        <w:numPr>
          <w:ilvl w:val="0"/>
          <w:numId w:val="14"/>
        </w:numPr>
        <w:spacing w:before="0" w:after="120"/>
        <w:ind w:left="402" w:hanging="357"/>
        <w:contextualSpacing/>
        <w:jc w:val="both"/>
        <w:rPr>
          <w:sz w:val="15"/>
          <w:szCs w:val="15"/>
          <w:highlight w:val="white"/>
        </w:rPr>
      </w:pPr>
      <w:r>
        <w:rPr>
          <w:sz w:val="15"/>
          <w:szCs w:val="15"/>
          <w:highlight w:val="white"/>
        </w:rPr>
        <w:t>wymienia zagrożenia wynikające ze stosowania narzędzi do zabiegów podologicznych.</w:t>
      </w:r>
    </w:p>
    <w:p>
      <w:pPr>
        <w:pStyle w:val="Nagwek5"/>
        <w:rPr>
          <w:rFonts w:ascii="Arial" w:hAnsi="Arial" w:eastAsia="Times New Roman" w:cs="Arial"/>
        </w:rPr>
      </w:pPr>
      <w:r>
        <w:rPr>
          <w:rFonts w:eastAsia="Times New Roman" w:cs="Arial" w:ascii="Arial" w:hAnsi="Arial"/>
        </w:rPr>
        <w:t>Efekt uczenia</w:t>
      </w:r>
    </w:p>
    <w:p>
      <w:pPr>
        <w:pStyle w:val="Normal"/>
        <w:jc w:val="both"/>
        <w:rPr>
          <w:rFonts w:ascii="Arial" w:hAnsi="Arial" w:eastAsia="Times New Roman" w:cs="Arial"/>
          <w:sz w:val="15"/>
          <w:szCs w:val="15"/>
        </w:rPr>
      </w:pPr>
      <w:r>
        <w:rPr>
          <w:rFonts w:eastAsia="Times New Roman" w:cs="Arial" w:ascii="Arial" w:hAnsi="Arial"/>
          <w:sz w:val="15"/>
          <w:szCs w:val="15"/>
        </w:rPr>
        <w:t>c) Omawia pojęcia z zakresu epidemiologii i nadzoru sanitarnego</w:t>
      </w:r>
    </w:p>
    <w:p>
      <w:pPr>
        <w:pStyle w:val="Nagwek5"/>
        <w:rPr>
          <w:rFonts w:ascii="Arial" w:hAnsi="Arial" w:eastAsia="Times New Roman" w:cs="Arial"/>
        </w:rPr>
      </w:pPr>
      <w:r>
        <w:rPr>
          <w:rFonts w:eastAsia="Times New Roman" w:cs="Arial" w:ascii="Arial" w:hAnsi="Arial"/>
        </w:rPr>
        <w:t>Kryteria weryfikacji</w:t>
      </w:r>
    </w:p>
    <w:p>
      <w:pPr>
        <w:pStyle w:val="Normalny2"/>
        <w:numPr>
          <w:ilvl w:val="0"/>
          <w:numId w:val="14"/>
        </w:numPr>
        <w:spacing w:before="0" w:after="120"/>
        <w:ind w:left="402" w:hanging="357"/>
        <w:contextualSpacing/>
        <w:jc w:val="both"/>
        <w:rPr>
          <w:sz w:val="15"/>
          <w:szCs w:val="15"/>
          <w:highlight w:val="white"/>
        </w:rPr>
      </w:pPr>
      <w:r>
        <w:rPr>
          <w:sz w:val="15"/>
          <w:szCs w:val="15"/>
          <w:highlight w:val="white"/>
        </w:rPr>
        <w:t>wyjaśnia pojęcia: epidemiologia,  nadzór sanitarny oraz definiuje ich obszar zastosowania praktycznego,</w:t>
      </w:r>
    </w:p>
    <w:p>
      <w:pPr>
        <w:pStyle w:val="Normalny2"/>
        <w:numPr>
          <w:ilvl w:val="0"/>
          <w:numId w:val="14"/>
        </w:numPr>
        <w:spacing w:before="0" w:after="120"/>
        <w:ind w:left="402" w:hanging="357"/>
        <w:contextualSpacing/>
        <w:jc w:val="both"/>
        <w:rPr>
          <w:sz w:val="15"/>
          <w:szCs w:val="15"/>
          <w:highlight w:val="white"/>
        </w:rPr>
      </w:pPr>
      <w:r>
        <w:rPr>
          <w:sz w:val="15"/>
          <w:szCs w:val="15"/>
          <w:highlight w:val="white"/>
        </w:rPr>
        <w:t>omawia sposoby promocji zdrowia koncentrujące się na człowieku, czynnikach chorobotwórczych oraz środowisku,</w:t>
      </w:r>
    </w:p>
    <w:p>
      <w:pPr>
        <w:pStyle w:val="Normalny2"/>
        <w:numPr>
          <w:ilvl w:val="0"/>
          <w:numId w:val="14"/>
        </w:numPr>
        <w:spacing w:before="0" w:after="120"/>
        <w:ind w:left="402" w:hanging="357"/>
        <w:contextualSpacing/>
        <w:jc w:val="both"/>
        <w:rPr>
          <w:sz w:val="15"/>
          <w:szCs w:val="15"/>
          <w:highlight w:val="white"/>
        </w:rPr>
      </w:pPr>
      <w:r>
        <w:rPr>
          <w:sz w:val="15"/>
          <w:szCs w:val="15"/>
          <w:highlight w:val="white"/>
        </w:rPr>
        <w:t>omawia epidemiologię chorób zakaźnych - proces epidemiologiczny i jego elementy z uwzględnieniem charakterystyki szczegółowej wybranych chorób zakaźnych o dużym znaczeniu praktycznym w podologii,</w:t>
      </w:r>
    </w:p>
    <w:p>
      <w:pPr>
        <w:pStyle w:val="Normalny2"/>
        <w:numPr>
          <w:ilvl w:val="0"/>
          <w:numId w:val="14"/>
        </w:numPr>
        <w:spacing w:before="0" w:after="120"/>
        <w:ind w:left="402" w:hanging="357"/>
        <w:contextualSpacing/>
        <w:jc w:val="both"/>
        <w:rPr>
          <w:sz w:val="15"/>
          <w:szCs w:val="15"/>
          <w:highlight w:val="white"/>
        </w:rPr>
      </w:pPr>
      <w:r>
        <w:rPr>
          <w:sz w:val="15"/>
          <w:szCs w:val="15"/>
          <w:highlight w:val="white"/>
        </w:rPr>
        <w:t>omawia przyczyny, mechanizmy powstawania oraz symptomatologię chorób cywilizacyjnych oraz ich implikacje w wymiarze medycznym, społecznym i ekonomicznym (m.in. cukrzyca, otyłość, miażdżyca, nadciśnienie tętnicze, osteoporoza, grzybica).</w:t>
      </w:r>
    </w:p>
    <w:p>
      <w:pPr>
        <w:pStyle w:val="Nagwek3"/>
        <w:rPr>
          <w:rFonts w:ascii="Arial" w:hAnsi="Arial" w:eastAsia="Times New Roman" w:cs="Arial"/>
        </w:rPr>
      </w:pPr>
      <w:r>
        <w:rPr>
          <w:rFonts w:eastAsia="Times New Roman" w:cs="Arial" w:ascii="Arial" w:hAnsi="Arial"/>
        </w:rPr>
        <w:t>Zestaw</w:t>
      </w:r>
    </w:p>
    <w:p>
      <w:pPr>
        <w:pStyle w:val="Nagwek4"/>
        <w:rPr>
          <w:rFonts w:ascii="Arial" w:hAnsi="Arial" w:eastAsia="Times New Roman" w:cs="Arial"/>
        </w:rPr>
      </w:pPr>
      <w:r>
        <w:rPr>
          <w:rFonts w:eastAsia="Times New Roman" w:cs="Arial" w:ascii="Arial" w:hAnsi="Arial"/>
        </w:rPr>
        <w:t>Numer zestawu w kwalifikacji</w:t>
      </w:r>
    </w:p>
    <w:p>
      <w:pPr>
        <w:pStyle w:val="Normal"/>
        <w:rPr>
          <w:rFonts w:ascii="Arial" w:hAnsi="Arial" w:eastAsia="Times New Roman" w:cs="Arial"/>
          <w:sz w:val="15"/>
          <w:szCs w:val="15"/>
        </w:rPr>
      </w:pPr>
      <w:r>
        <w:rPr>
          <w:rFonts w:eastAsia="Times New Roman" w:cs="Arial" w:ascii="Arial" w:hAnsi="Arial"/>
          <w:sz w:val="15"/>
          <w:szCs w:val="15"/>
        </w:rPr>
        <w:t>4</w:t>
      </w:r>
    </w:p>
    <w:p>
      <w:pPr>
        <w:pStyle w:val="Nagwek4"/>
        <w:rPr>
          <w:rFonts w:ascii="Arial" w:hAnsi="Arial" w:eastAsia="Times New Roman" w:cs="Arial"/>
        </w:rPr>
      </w:pPr>
      <w:r>
        <w:rPr>
          <w:rFonts w:eastAsia="Times New Roman" w:cs="Arial" w:ascii="Arial" w:hAnsi="Arial"/>
        </w:rPr>
        <w:t>Nazwa zestawu</w:t>
      </w:r>
    </w:p>
    <w:p>
      <w:pPr>
        <w:pStyle w:val="Nagwek4"/>
        <w:rPr>
          <w:rFonts w:ascii="Arial" w:hAnsi="Arial" w:eastAsia="Times New Roman" w:cs="Arial"/>
          <w:b w:val="false"/>
          <w:b w:val="false"/>
          <w:sz w:val="15"/>
          <w:szCs w:val="15"/>
        </w:rPr>
      </w:pPr>
      <w:r>
        <w:rPr>
          <w:rFonts w:cs="Arial" w:ascii="Arial" w:hAnsi="Arial"/>
          <w:b w:val="false"/>
          <w:sz w:val="15"/>
          <w:szCs w:val="15"/>
          <w:highlight w:val="white"/>
        </w:rPr>
        <w:t>Rozpoznawanie stanu zdrowia klienta w obrębie stóp i kończyn dolnych</w:t>
      </w:r>
      <w:r>
        <w:rPr>
          <w:rFonts w:eastAsia="Times New Roman" w:cs="Arial" w:ascii="Arial" w:hAnsi="Arial"/>
          <w:b w:val="false"/>
          <w:sz w:val="15"/>
          <w:szCs w:val="15"/>
        </w:rPr>
        <w:t xml:space="preserve"> </w:t>
      </w:r>
    </w:p>
    <w:p>
      <w:pPr>
        <w:pStyle w:val="Nagwek4"/>
        <w:rPr>
          <w:rFonts w:ascii="Arial" w:hAnsi="Arial" w:eastAsia="Times New Roman" w:cs="Arial"/>
        </w:rPr>
      </w:pPr>
      <w:r>
        <w:rPr>
          <w:rFonts w:eastAsia="Times New Roman" w:cs="Arial" w:ascii="Arial" w:hAnsi="Arial"/>
        </w:rPr>
        <w:t>Poziom PRK</w:t>
      </w:r>
    </w:p>
    <w:p>
      <w:pPr>
        <w:pStyle w:val="Normal"/>
        <w:rPr>
          <w:rFonts w:ascii="Arial" w:hAnsi="Arial" w:eastAsia="Times New Roman" w:cs="Arial"/>
          <w:sz w:val="15"/>
          <w:szCs w:val="15"/>
        </w:rPr>
      </w:pPr>
      <w:r>
        <w:rPr>
          <w:rFonts w:eastAsia="Times New Roman" w:cs="Arial" w:ascii="Arial" w:hAnsi="Arial"/>
          <w:sz w:val="15"/>
          <w:szCs w:val="15"/>
        </w:rPr>
        <w:t>5</w:t>
      </w:r>
    </w:p>
    <w:p>
      <w:pPr>
        <w:pStyle w:val="Nagwek4"/>
        <w:rPr>
          <w:rFonts w:ascii="Arial" w:hAnsi="Arial" w:eastAsia="Times New Roman" w:cs="Arial"/>
        </w:rPr>
      </w:pPr>
      <w:r>
        <w:rPr>
          <w:rFonts w:eastAsia="Times New Roman" w:cs="Arial" w:ascii="Arial" w:hAnsi="Arial"/>
        </w:rPr>
        <w:t>Orientacyjny nakład pracy [godz]</w:t>
      </w:r>
    </w:p>
    <w:p>
      <w:pPr>
        <w:pStyle w:val="Normal"/>
        <w:rPr>
          <w:rFonts w:ascii="Arial" w:hAnsi="Arial" w:eastAsia="Times New Roman" w:cs="Arial"/>
          <w:sz w:val="15"/>
          <w:szCs w:val="15"/>
        </w:rPr>
      </w:pPr>
      <w:r>
        <w:rPr>
          <w:rFonts w:eastAsia="Times New Roman" w:cs="Arial" w:ascii="Arial" w:hAnsi="Arial"/>
          <w:sz w:val="15"/>
          <w:szCs w:val="15"/>
        </w:rPr>
        <w:t>180</w:t>
      </w:r>
    </w:p>
    <w:p>
      <w:pPr>
        <w:pStyle w:val="Nagwek4"/>
        <w:rPr>
          <w:rFonts w:ascii="Arial" w:hAnsi="Arial" w:eastAsia="Times New Roman" w:cs="Arial"/>
        </w:rPr>
      </w:pPr>
      <w:r>
        <w:rPr>
          <w:rFonts w:eastAsia="Times New Roman" w:cs="Arial" w:ascii="Arial" w:hAnsi="Arial"/>
        </w:rPr>
        <w:t>Rodzaj zestawu</w:t>
      </w:r>
    </w:p>
    <w:p>
      <w:pPr>
        <w:pStyle w:val="Normal"/>
        <w:rPr>
          <w:rFonts w:ascii="Arial" w:hAnsi="Arial" w:eastAsia="Times New Roman" w:cs="Arial"/>
          <w:sz w:val="15"/>
          <w:szCs w:val="15"/>
        </w:rPr>
      </w:pPr>
      <w:r>
        <w:rPr>
          <w:rFonts w:eastAsia="Times New Roman" w:cs="Arial" w:ascii="Arial" w:hAnsi="Arial"/>
          <w:sz w:val="15"/>
          <w:szCs w:val="15"/>
        </w:rPr>
        <w:t>obowiązkowy</w:t>
      </w:r>
    </w:p>
    <w:p>
      <w:pPr>
        <w:pStyle w:val="Nagwek4"/>
        <w:jc w:val="both"/>
        <w:rPr>
          <w:rFonts w:ascii="Arial" w:hAnsi="Arial" w:eastAsia="Times New Roman" w:cs="Arial"/>
        </w:rPr>
      </w:pPr>
      <w:r>
        <w:rPr>
          <w:rFonts w:eastAsia="Times New Roman" w:cs="Arial" w:ascii="Arial" w:hAnsi="Arial"/>
        </w:rPr>
        <w:t>Poszczególne efekty uczenia się oraz kryteria weryfikacji ich osiągnięcia</w:t>
      </w:r>
    </w:p>
    <w:p>
      <w:pPr>
        <w:pStyle w:val="Nagwek5"/>
        <w:rPr>
          <w:rFonts w:ascii="Arial" w:hAnsi="Arial" w:eastAsia="Times New Roman" w:cs="Arial"/>
        </w:rPr>
      </w:pPr>
      <w:r>
        <w:rPr>
          <w:rFonts w:eastAsia="Times New Roman" w:cs="Arial" w:ascii="Arial" w:hAnsi="Arial"/>
        </w:rPr>
        <w:t>Efekt uczenia</w:t>
      </w:r>
    </w:p>
    <w:p>
      <w:pPr>
        <w:pStyle w:val="Normal"/>
        <w:rPr>
          <w:rFonts w:ascii="Arial" w:hAnsi="Arial" w:eastAsia="Times New Roman" w:cs="Arial"/>
          <w:sz w:val="15"/>
          <w:szCs w:val="15"/>
        </w:rPr>
      </w:pPr>
      <w:r>
        <w:rPr>
          <w:rFonts w:eastAsia="Times New Roman" w:cs="Arial" w:ascii="Arial" w:hAnsi="Arial"/>
          <w:sz w:val="15"/>
          <w:szCs w:val="15"/>
        </w:rPr>
        <w:t xml:space="preserve">a) Przeprowadza wywiad z klientem </w:t>
      </w:r>
    </w:p>
    <w:p>
      <w:pPr>
        <w:pStyle w:val="Nagwek5"/>
        <w:jc w:val="both"/>
        <w:rPr>
          <w:rFonts w:ascii="Arial" w:hAnsi="Arial" w:eastAsia="Times New Roman" w:cs="Arial"/>
        </w:rPr>
      </w:pPr>
      <w:r>
        <w:rPr>
          <w:rFonts w:eastAsia="Times New Roman" w:cs="Arial" w:ascii="Arial" w:hAnsi="Arial"/>
        </w:rPr>
        <w:t>Kryteria weryfikacji</w:t>
      </w:r>
    </w:p>
    <w:p>
      <w:pPr>
        <w:pStyle w:val="Normalny2"/>
        <w:numPr>
          <w:ilvl w:val="0"/>
          <w:numId w:val="15"/>
        </w:numPr>
        <w:spacing w:before="0" w:after="120"/>
        <w:ind w:left="405" w:hanging="360"/>
        <w:contextualSpacing/>
        <w:jc w:val="both"/>
        <w:rPr>
          <w:sz w:val="15"/>
          <w:szCs w:val="15"/>
          <w:highlight w:val="white"/>
        </w:rPr>
      </w:pPr>
      <w:r>
        <w:rPr>
          <w:sz w:val="15"/>
          <w:szCs w:val="15"/>
          <w:highlight w:val="white"/>
        </w:rPr>
        <w:t>gromadzi i dokumentuje dane klienta (m.in. imię i nazwisko, wiek, masa ciała, płeć) w tym dane wrażliwe,</w:t>
      </w:r>
    </w:p>
    <w:p>
      <w:pPr>
        <w:pStyle w:val="Normalny2"/>
        <w:numPr>
          <w:ilvl w:val="0"/>
          <w:numId w:val="15"/>
        </w:numPr>
        <w:spacing w:before="0" w:after="120"/>
        <w:ind w:left="405" w:hanging="360"/>
        <w:contextualSpacing/>
        <w:jc w:val="both"/>
        <w:rPr>
          <w:sz w:val="15"/>
          <w:szCs w:val="15"/>
          <w:highlight w:val="white"/>
        </w:rPr>
      </w:pPr>
      <w:r>
        <w:rPr>
          <w:sz w:val="15"/>
          <w:szCs w:val="15"/>
          <w:highlight w:val="white"/>
        </w:rPr>
        <w:t>ustala cel wizyty klienta i dokumentuje problem zasygnalizowany przez klienta,</w:t>
      </w:r>
    </w:p>
    <w:p>
      <w:pPr>
        <w:pStyle w:val="Normalny2"/>
        <w:numPr>
          <w:ilvl w:val="0"/>
          <w:numId w:val="15"/>
        </w:numPr>
        <w:spacing w:before="0" w:after="120"/>
        <w:ind w:left="405" w:hanging="360"/>
        <w:contextualSpacing/>
        <w:jc w:val="both"/>
        <w:rPr>
          <w:sz w:val="15"/>
          <w:szCs w:val="15"/>
          <w:highlight w:val="white"/>
        </w:rPr>
      </w:pPr>
      <w:r>
        <w:rPr>
          <w:sz w:val="15"/>
          <w:szCs w:val="15"/>
          <w:highlight w:val="white"/>
        </w:rPr>
        <w:t>uwzględnia w wywiadzie zgłoszone przez klienta choroby, czynniki i dysfunkcje mające wpływ na zasygnalizowany przez niego problem oraz dane decydujące o możliwości przeprowadzenia zabiegu w gabinecie podologicznym</w:t>
      </w:r>
      <w:r>
        <w:rPr>
          <w:rFonts w:eastAsia="Lato"/>
          <w:sz w:val="15"/>
          <w:szCs w:val="15"/>
        </w:rPr>
        <w:t>.</w:t>
      </w:r>
    </w:p>
    <w:p>
      <w:pPr>
        <w:pStyle w:val="Nagwek5"/>
        <w:rPr>
          <w:rFonts w:ascii="Arial" w:hAnsi="Arial" w:eastAsia="Times New Roman" w:cs="Arial"/>
        </w:rPr>
      </w:pPr>
      <w:r>
        <w:rPr>
          <w:rFonts w:eastAsia="Times New Roman" w:cs="Arial" w:ascii="Arial" w:hAnsi="Arial"/>
        </w:rPr>
        <w:t>Efekt uczenia</w:t>
      </w:r>
    </w:p>
    <w:p>
      <w:pPr>
        <w:pStyle w:val="Normal"/>
        <w:jc w:val="both"/>
        <w:rPr>
          <w:rFonts w:ascii="Arial" w:hAnsi="Arial" w:eastAsia="Times New Roman" w:cs="Arial"/>
          <w:sz w:val="15"/>
          <w:szCs w:val="15"/>
        </w:rPr>
      </w:pPr>
      <w:r>
        <w:rPr>
          <w:rFonts w:eastAsia="Times New Roman" w:cs="Arial" w:ascii="Arial" w:hAnsi="Arial"/>
          <w:sz w:val="15"/>
          <w:szCs w:val="15"/>
        </w:rPr>
        <w:t>b) Wykonuje badania stóp i kończyn dolnych pod kątem wad i dysfunkcji układu mięśniowo-szkieletowego</w:t>
      </w:r>
    </w:p>
    <w:p>
      <w:pPr>
        <w:pStyle w:val="Nagwek5"/>
        <w:rPr>
          <w:rFonts w:ascii="Arial" w:hAnsi="Arial" w:eastAsia="Times New Roman" w:cs="Arial"/>
        </w:rPr>
      </w:pPr>
      <w:r>
        <w:rPr>
          <w:rFonts w:eastAsia="Times New Roman" w:cs="Arial" w:ascii="Arial" w:hAnsi="Arial"/>
        </w:rPr>
        <w:t>Kryteria weryfikacji</w:t>
      </w:r>
    </w:p>
    <w:p>
      <w:pPr>
        <w:pStyle w:val="Normalny2"/>
        <w:numPr>
          <w:ilvl w:val="0"/>
          <w:numId w:val="15"/>
        </w:numPr>
        <w:spacing w:before="0" w:after="120"/>
        <w:ind w:left="405" w:hanging="360"/>
        <w:contextualSpacing/>
        <w:rPr>
          <w:sz w:val="15"/>
          <w:szCs w:val="15"/>
          <w:highlight w:val="white"/>
        </w:rPr>
      </w:pPr>
      <w:r>
        <w:rPr>
          <w:sz w:val="15"/>
          <w:szCs w:val="15"/>
          <w:highlight w:val="white"/>
        </w:rPr>
        <w:t>wykonuje badanie palpacyjne,</w:t>
      </w:r>
    </w:p>
    <w:p>
      <w:pPr>
        <w:pStyle w:val="Normalny2"/>
        <w:numPr>
          <w:ilvl w:val="0"/>
          <w:numId w:val="15"/>
        </w:numPr>
        <w:spacing w:before="0" w:after="120"/>
        <w:ind w:left="405" w:hanging="360"/>
        <w:contextualSpacing/>
        <w:rPr>
          <w:sz w:val="15"/>
          <w:szCs w:val="15"/>
          <w:highlight w:val="white"/>
        </w:rPr>
      </w:pPr>
      <w:r>
        <w:rPr>
          <w:sz w:val="15"/>
          <w:szCs w:val="15"/>
          <w:highlight w:val="white"/>
        </w:rPr>
        <w:t>wykonuje pomiary stopy z zastosowaniem linijki i goniometru,</w:t>
      </w:r>
    </w:p>
    <w:p>
      <w:pPr>
        <w:pStyle w:val="Normalny2"/>
        <w:numPr>
          <w:ilvl w:val="0"/>
          <w:numId w:val="15"/>
        </w:numPr>
        <w:spacing w:before="0" w:after="120"/>
        <w:ind w:left="405" w:hanging="360"/>
        <w:contextualSpacing/>
        <w:rPr>
          <w:sz w:val="15"/>
          <w:szCs w:val="15"/>
          <w:highlight w:val="white"/>
        </w:rPr>
      </w:pPr>
      <w:r>
        <w:rPr>
          <w:sz w:val="15"/>
          <w:szCs w:val="15"/>
          <w:highlight w:val="white"/>
        </w:rPr>
        <w:t>wykonuje badanie podoskopowe.</w:t>
      </w:r>
    </w:p>
    <w:p>
      <w:pPr>
        <w:pStyle w:val="Nagwek5"/>
        <w:rPr>
          <w:rFonts w:ascii="Arial" w:hAnsi="Arial" w:eastAsia="Times New Roman" w:cs="Arial"/>
        </w:rPr>
      </w:pPr>
      <w:r>
        <w:rPr>
          <w:rFonts w:eastAsia="Times New Roman" w:cs="Arial" w:ascii="Arial" w:hAnsi="Arial"/>
        </w:rPr>
        <w:t>Efekt uczenia</w:t>
      </w:r>
    </w:p>
    <w:p>
      <w:pPr>
        <w:pStyle w:val="Normal"/>
        <w:rPr>
          <w:rFonts w:ascii="Arial" w:hAnsi="Arial" w:eastAsia="Times New Roman" w:cs="Arial"/>
          <w:sz w:val="15"/>
          <w:szCs w:val="15"/>
        </w:rPr>
      </w:pPr>
      <w:r>
        <w:rPr>
          <w:rFonts w:eastAsia="Times New Roman" w:cs="Arial" w:ascii="Arial" w:hAnsi="Arial"/>
          <w:sz w:val="15"/>
          <w:szCs w:val="15"/>
        </w:rPr>
        <w:t>c) Wykonuje profilaktyczną ocenę stanu tętnic obwodowych</w:t>
      </w:r>
    </w:p>
    <w:p>
      <w:pPr>
        <w:pStyle w:val="Nagwek5"/>
        <w:rPr>
          <w:rFonts w:ascii="Arial" w:hAnsi="Arial" w:eastAsia="Times New Roman" w:cs="Arial"/>
        </w:rPr>
      </w:pPr>
      <w:r>
        <w:rPr>
          <w:rFonts w:eastAsia="Times New Roman" w:cs="Arial" w:ascii="Arial" w:hAnsi="Arial"/>
        </w:rPr>
        <w:t>Kryteria weryfikacji</w:t>
      </w:r>
    </w:p>
    <w:p>
      <w:pPr>
        <w:pStyle w:val="Normalny2"/>
        <w:numPr>
          <w:ilvl w:val="0"/>
          <w:numId w:val="15"/>
        </w:numPr>
        <w:spacing w:before="0" w:after="120"/>
        <w:ind w:left="405" w:hanging="360"/>
        <w:contextualSpacing/>
        <w:rPr>
          <w:sz w:val="15"/>
          <w:szCs w:val="15"/>
          <w:highlight w:val="white"/>
        </w:rPr>
      </w:pPr>
      <w:r>
        <w:rPr>
          <w:sz w:val="15"/>
          <w:szCs w:val="15"/>
          <w:highlight w:val="white"/>
        </w:rPr>
        <w:t>wykonuje badanie palpacyjne,</w:t>
      </w:r>
    </w:p>
    <w:p>
      <w:pPr>
        <w:pStyle w:val="Normalny2"/>
        <w:numPr>
          <w:ilvl w:val="0"/>
          <w:numId w:val="15"/>
        </w:numPr>
        <w:spacing w:before="0" w:after="120"/>
        <w:ind w:left="405" w:hanging="360"/>
        <w:contextualSpacing/>
        <w:rPr>
          <w:sz w:val="15"/>
          <w:szCs w:val="15"/>
          <w:highlight w:val="white"/>
        </w:rPr>
      </w:pPr>
      <w:r>
        <w:rPr>
          <w:sz w:val="15"/>
          <w:szCs w:val="15"/>
          <w:highlight w:val="white"/>
        </w:rPr>
        <w:t>wykonuje badanie przy zastosowaniu ślepego Dopplera,</w:t>
      </w:r>
    </w:p>
    <w:p>
      <w:pPr>
        <w:pStyle w:val="Normalny2"/>
        <w:numPr>
          <w:ilvl w:val="0"/>
          <w:numId w:val="15"/>
        </w:numPr>
        <w:spacing w:before="0" w:after="120"/>
        <w:ind w:left="405" w:hanging="360"/>
        <w:contextualSpacing/>
        <w:rPr>
          <w:sz w:val="15"/>
          <w:szCs w:val="15"/>
          <w:highlight w:val="white"/>
        </w:rPr>
      </w:pPr>
      <w:r>
        <w:rPr>
          <w:sz w:val="15"/>
          <w:szCs w:val="15"/>
          <w:highlight w:val="white"/>
        </w:rPr>
        <w:t>omawia wskazania i przeciwwskazania zastosowania badania ABI.</w:t>
      </w:r>
    </w:p>
    <w:p>
      <w:pPr>
        <w:pStyle w:val="Nagwek5"/>
        <w:rPr>
          <w:rFonts w:ascii="Arial" w:hAnsi="Arial" w:eastAsia="Times New Roman" w:cs="Arial"/>
        </w:rPr>
      </w:pPr>
      <w:r>
        <w:rPr>
          <w:rFonts w:eastAsia="Times New Roman" w:cs="Arial" w:ascii="Arial" w:hAnsi="Arial"/>
        </w:rPr>
        <w:t>Efekt uczenia</w:t>
      </w:r>
    </w:p>
    <w:p>
      <w:pPr>
        <w:pStyle w:val="Normal"/>
        <w:rPr>
          <w:rFonts w:ascii="Arial" w:hAnsi="Arial" w:eastAsia="Times New Roman" w:cs="Arial"/>
          <w:sz w:val="15"/>
          <w:szCs w:val="15"/>
        </w:rPr>
      </w:pPr>
      <w:r>
        <w:rPr>
          <w:rFonts w:eastAsia="Times New Roman" w:cs="Arial" w:ascii="Arial" w:hAnsi="Arial"/>
          <w:sz w:val="15"/>
          <w:szCs w:val="15"/>
        </w:rPr>
        <w:t>d) Wykonuje badanie czucia i temperatury w obrębie stopy</w:t>
      </w:r>
    </w:p>
    <w:p>
      <w:pPr>
        <w:pStyle w:val="Nagwek5"/>
        <w:rPr>
          <w:rFonts w:ascii="Arial" w:hAnsi="Arial" w:eastAsia="Times New Roman" w:cs="Arial"/>
        </w:rPr>
      </w:pPr>
      <w:r>
        <w:rPr>
          <w:rFonts w:eastAsia="Times New Roman" w:cs="Arial" w:ascii="Arial" w:hAnsi="Arial"/>
        </w:rPr>
        <w:t>Kryteria weryfikacji</w:t>
      </w:r>
    </w:p>
    <w:p>
      <w:pPr>
        <w:pStyle w:val="Normalny2"/>
        <w:numPr>
          <w:ilvl w:val="0"/>
          <w:numId w:val="15"/>
        </w:numPr>
        <w:spacing w:before="0" w:after="120"/>
        <w:ind w:left="405" w:hanging="360"/>
        <w:contextualSpacing/>
        <w:jc w:val="both"/>
        <w:rPr>
          <w:sz w:val="15"/>
          <w:szCs w:val="15"/>
          <w:highlight w:val="white"/>
        </w:rPr>
      </w:pPr>
      <w:r>
        <w:rPr>
          <w:sz w:val="15"/>
          <w:szCs w:val="15"/>
          <w:highlight w:val="white"/>
        </w:rPr>
        <w:t>wymienia wskazania i przeciwwskazania do wykonania badań czucia i temperatury,</w:t>
      </w:r>
    </w:p>
    <w:p>
      <w:pPr>
        <w:pStyle w:val="Normalny2"/>
        <w:numPr>
          <w:ilvl w:val="0"/>
          <w:numId w:val="15"/>
        </w:numPr>
        <w:spacing w:before="0" w:after="120"/>
        <w:ind w:left="405" w:hanging="360"/>
        <w:contextualSpacing/>
        <w:jc w:val="both"/>
        <w:rPr>
          <w:sz w:val="15"/>
          <w:szCs w:val="15"/>
          <w:highlight w:val="white"/>
        </w:rPr>
      </w:pPr>
      <w:r>
        <w:rPr>
          <w:sz w:val="15"/>
          <w:szCs w:val="15"/>
          <w:highlight w:val="white"/>
        </w:rPr>
        <w:t>wykonuje badanie temperatury i czucia w tym: ciepło-zimno, dotyk i ból, wibracje.</w:t>
      </w:r>
    </w:p>
    <w:p>
      <w:pPr>
        <w:pStyle w:val="Nagwek5"/>
        <w:rPr>
          <w:rFonts w:ascii="Arial" w:hAnsi="Arial" w:eastAsia="Times New Roman" w:cs="Arial"/>
        </w:rPr>
      </w:pPr>
      <w:r>
        <w:rPr>
          <w:rFonts w:eastAsia="Times New Roman" w:cs="Arial" w:ascii="Arial" w:hAnsi="Arial"/>
        </w:rPr>
        <w:t>Efekt uczenia</w:t>
      </w:r>
    </w:p>
    <w:p>
      <w:pPr>
        <w:pStyle w:val="Normal"/>
        <w:rPr>
          <w:rFonts w:ascii="Arial" w:hAnsi="Arial" w:eastAsia="Times New Roman" w:cs="Arial"/>
          <w:sz w:val="15"/>
          <w:szCs w:val="15"/>
        </w:rPr>
      </w:pPr>
      <w:r>
        <w:rPr>
          <w:rFonts w:eastAsia="Times New Roman" w:cs="Arial" w:ascii="Arial" w:hAnsi="Arial"/>
          <w:sz w:val="15"/>
          <w:szCs w:val="15"/>
        </w:rPr>
        <w:t>e) Wykonuje badania skóry i aparatu paznokciowego</w:t>
      </w:r>
    </w:p>
    <w:p>
      <w:pPr>
        <w:pStyle w:val="Nagwek5"/>
        <w:rPr>
          <w:rFonts w:ascii="Arial" w:hAnsi="Arial" w:eastAsia="Times New Roman" w:cs="Arial"/>
        </w:rPr>
      </w:pPr>
      <w:r>
        <w:rPr>
          <w:rFonts w:eastAsia="Times New Roman" w:cs="Arial" w:ascii="Arial" w:hAnsi="Arial"/>
        </w:rPr>
        <w:t>Kryteria weryfikacji</w:t>
      </w:r>
    </w:p>
    <w:p>
      <w:pPr>
        <w:pStyle w:val="Normalny2"/>
        <w:numPr>
          <w:ilvl w:val="0"/>
          <w:numId w:val="15"/>
        </w:numPr>
        <w:spacing w:before="0" w:after="120"/>
        <w:ind w:left="405" w:hanging="360"/>
        <w:contextualSpacing/>
        <w:rPr>
          <w:sz w:val="15"/>
          <w:szCs w:val="15"/>
          <w:highlight w:val="white"/>
        </w:rPr>
      </w:pPr>
      <w:r>
        <w:rPr>
          <w:sz w:val="15"/>
          <w:szCs w:val="15"/>
          <w:highlight w:val="white"/>
        </w:rPr>
        <w:t>wykonuje badanie palpacyjne,</w:t>
      </w:r>
    </w:p>
    <w:p>
      <w:pPr>
        <w:pStyle w:val="Normalny2"/>
        <w:numPr>
          <w:ilvl w:val="0"/>
          <w:numId w:val="15"/>
        </w:numPr>
        <w:spacing w:before="0" w:after="120"/>
        <w:ind w:left="405" w:hanging="360"/>
        <w:contextualSpacing/>
        <w:rPr>
          <w:sz w:val="15"/>
          <w:szCs w:val="15"/>
          <w:highlight w:val="white"/>
        </w:rPr>
      </w:pPr>
      <w:r>
        <w:rPr>
          <w:sz w:val="15"/>
          <w:szCs w:val="15"/>
          <w:highlight w:val="white"/>
        </w:rPr>
        <w:t>wykonuje badanie oglądowe w celu rozpoznania wykwitów pierwotnych i wtórnych,</w:t>
      </w:r>
    </w:p>
    <w:p>
      <w:pPr>
        <w:pStyle w:val="Normalny2"/>
        <w:numPr>
          <w:ilvl w:val="0"/>
          <w:numId w:val="15"/>
        </w:numPr>
        <w:spacing w:before="0" w:after="120"/>
        <w:ind w:left="405" w:hanging="360"/>
        <w:contextualSpacing/>
        <w:rPr>
          <w:sz w:val="15"/>
          <w:szCs w:val="15"/>
          <w:highlight w:val="white"/>
        </w:rPr>
      </w:pPr>
      <w:r>
        <w:rPr>
          <w:sz w:val="15"/>
          <w:szCs w:val="15"/>
          <w:highlight w:val="white"/>
        </w:rPr>
        <w:t>wskazuje symptomy zakażeń drobnoustrojami,</w:t>
      </w:r>
    </w:p>
    <w:p>
      <w:pPr>
        <w:pStyle w:val="Normalny2"/>
        <w:numPr>
          <w:ilvl w:val="0"/>
          <w:numId w:val="15"/>
        </w:numPr>
        <w:spacing w:before="0" w:after="120"/>
        <w:ind w:left="405" w:hanging="360"/>
        <w:contextualSpacing/>
        <w:rPr>
          <w:sz w:val="15"/>
          <w:szCs w:val="15"/>
          <w:highlight w:val="white"/>
        </w:rPr>
      </w:pPr>
      <w:r>
        <w:rPr>
          <w:sz w:val="15"/>
          <w:szCs w:val="15"/>
          <w:highlight w:val="white"/>
        </w:rPr>
        <w:t>rozróżnia rodzaje hiperkeratoz,</w:t>
      </w:r>
    </w:p>
    <w:p>
      <w:pPr>
        <w:pStyle w:val="Normalny2"/>
        <w:numPr>
          <w:ilvl w:val="0"/>
          <w:numId w:val="15"/>
        </w:numPr>
        <w:spacing w:before="0" w:after="120"/>
        <w:ind w:left="405" w:hanging="360"/>
        <w:contextualSpacing/>
        <w:rPr>
          <w:sz w:val="15"/>
          <w:szCs w:val="15"/>
          <w:highlight w:val="white"/>
        </w:rPr>
      </w:pPr>
      <w:r>
        <w:rPr>
          <w:sz w:val="15"/>
          <w:szCs w:val="15"/>
          <w:highlight w:val="white"/>
        </w:rPr>
        <w:t>odróżnia  zmiany o podłożu alergicznym od innych,</w:t>
      </w:r>
    </w:p>
    <w:p>
      <w:pPr>
        <w:pStyle w:val="Normalny2"/>
        <w:numPr>
          <w:ilvl w:val="0"/>
          <w:numId w:val="15"/>
        </w:numPr>
        <w:spacing w:before="0" w:after="120"/>
        <w:ind w:left="405" w:hanging="360"/>
        <w:contextualSpacing/>
        <w:rPr>
          <w:sz w:val="15"/>
          <w:szCs w:val="15"/>
          <w:highlight w:val="white"/>
        </w:rPr>
      </w:pPr>
      <w:r>
        <w:rPr>
          <w:sz w:val="15"/>
          <w:szCs w:val="15"/>
          <w:highlight w:val="white"/>
        </w:rPr>
        <w:t>różnicuje  choroby związane z nieprawidłową przemianą i rozłożeniem melanocytów w tym m.in. bielactwo, zmiany melanocytowe,</w:t>
      </w:r>
    </w:p>
    <w:p>
      <w:pPr>
        <w:pStyle w:val="Normalny2"/>
        <w:numPr>
          <w:ilvl w:val="0"/>
          <w:numId w:val="15"/>
        </w:numPr>
        <w:spacing w:before="0" w:after="120"/>
        <w:ind w:left="405" w:hanging="360"/>
        <w:contextualSpacing/>
        <w:rPr>
          <w:sz w:val="15"/>
          <w:szCs w:val="15"/>
          <w:highlight w:val="white"/>
        </w:rPr>
      </w:pPr>
      <w:r>
        <w:rPr>
          <w:sz w:val="15"/>
          <w:szCs w:val="15"/>
          <w:highlight w:val="white"/>
        </w:rPr>
        <w:t>różnicuje zmiany i choroby paznokci.</w:t>
      </w:r>
    </w:p>
    <w:p>
      <w:pPr>
        <w:pStyle w:val="Nagwek5"/>
        <w:rPr>
          <w:rFonts w:ascii="Arial" w:hAnsi="Arial" w:eastAsia="Times New Roman" w:cs="Arial"/>
        </w:rPr>
      </w:pPr>
      <w:r>
        <w:rPr>
          <w:rFonts w:eastAsia="Times New Roman" w:cs="Arial" w:ascii="Arial" w:hAnsi="Arial"/>
        </w:rPr>
        <w:t>Efekt uczenia</w:t>
      </w:r>
    </w:p>
    <w:p>
      <w:pPr>
        <w:pStyle w:val="Normal"/>
        <w:rPr>
          <w:rFonts w:ascii="Arial" w:hAnsi="Arial" w:eastAsia="Times New Roman" w:cs="Arial"/>
          <w:sz w:val="15"/>
          <w:szCs w:val="15"/>
        </w:rPr>
      </w:pPr>
      <w:r>
        <w:rPr>
          <w:rFonts w:eastAsia="Times New Roman" w:cs="Arial" w:ascii="Arial" w:hAnsi="Arial"/>
          <w:sz w:val="15"/>
          <w:szCs w:val="15"/>
        </w:rPr>
        <w:t>f) Diagnozuje podologicznie klienta i kwalifikuje do terapii podologicznej</w:t>
      </w:r>
    </w:p>
    <w:p>
      <w:pPr>
        <w:pStyle w:val="Nagwek5"/>
        <w:rPr>
          <w:rFonts w:ascii="Arial" w:hAnsi="Arial" w:eastAsia="Times New Roman" w:cs="Arial"/>
        </w:rPr>
      </w:pPr>
      <w:r>
        <w:rPr>
          <w:rFonts w:eastAsia="Times New Roman" w:cs="Arial" w:ascii="Arial" w:hAnsi="Arial"/>
        </w:rPr>
        <w:t>Kryteria weryfikacji</w:t>
      </w:r>
    </w:p>
    <w:p>
      <w:pPr>
        <w:pStyle w:val="Normalny2"/>
        <w:numPr>
          <w:ilvl w:val="0"/>
          <w:numId w:val="15"/>
        </w:numPr>
        <w:spacing w:before="0" w:after="120"/>
        <w:ind w:left="405" w:hanging="360"/>
        <w:contextualSpacing/>
        <w:jc w:val="both"/>
        <w:rPr>
          <w:sz w:val="15"/>
          <w:szCs w:val="15"/>
          <w:highlight w:val="white"/>
        </w:rPr>
      </w:pPr>
      <w:r>
        <w:rPr>
          <w:sz w:val="15"/>
          <w:szCs w:val="15"/>
          <w:highlight w:val="white"/>
        </w:rPr>
        <w:t>formułuje diagnozę podologiczną na podstawie przeprowadzonych badań,</w:t>
      </w:r>
    </w:p>
    <w:p>
      <w:pPr>
        <w:pStyle w:val="Normalny2"/>
        <w:numPr>
          <w:ilvl w:val="0"/>
          <w:numId w:val="15"/>
        </w:numPr>
        <w:spacing w:before="0" w:after="120"/>
        <w:ind w:left="405" w:hanging="360"/>
        <w:contextualSpacing/>
        <w:jc w:val="both"/>
        <w:rPr>
          <w:sz w:val="15"/>
          <w:szCs w:val="15"/>
          <w:highlight w:val="white"/>
        </w:rPr>
      </w:pPr>
      <w:r>
        <w:rPr>
          <w:sz w:val="15"/>
          <w:szCs w:val="15"/>
          <w:highlight w:val="white"/>
        </w:rPr>
        <w:t>omawia możliwości terapii podologicznej lub zaleca wizytę u specjalisty;</w:t>
      </w:r>
    </w:p>
    <w:p>
      <w:pPr>
        <w:pStyle w:val="Normalny2"/>
        <w:numPr>
          <w:ilvl w:val="0"/>
          <w:numId w:val="15"/>
        </w:numPr>
        <w:spacing w:before="0" w:after="120"/>
        <w:ind w:left="405" w:hanging="360"/>
        <w:contextualSpacing/>
        <w:jc w:val="both"/>
        <w:rPr>
          <w:sz w:val="15"/>
          <w:szCs w:val="15"/>
          <w:highlight w:val="white"/>
        </w:rPr>
      </w:pPr>
      <w:r>
        <w:rPr>
          <w:sz w:val="15"/>
          <w:szCs w:val="15"/>
          <w:highlight w:val="white"/>
        </w:rPr>
        <w:t>zapisuje diagnozę w dokumentacji klienta,</w:t>
      </w:r>
    </w:p>
    <w:p>
      <w:pPr>
        <w:pStyle w:val="Normalny2"/>
        <w:numPr>
          <w:ilvl w:val="0"/>
          <w:numId w:val="15"/>
        </w:numPr>
        <w:spacing w:before="0" w:after="120"/>
        <w:ind w:left="405" w:hanging="360"/>
        <w:contextualSpacing/>
        <w:jc w:val="both"/>
        <w:rPr>
          <w:sz w:val="15"/>
          <w:szCs w:val="15"/>
          <w:highlight w:val="white"/>
        </w:rPr>
      </w:pPr>
      <w:r>
        <w:rPr>
          <w:sz w:val="15"/>
          <w:szCs w:val="15"/>
          <w:highlight w:val="white"/>
        </w:rPr>
        <w:t>przeprowadza dokumentacje zdjęciową przed zabiegiem,</w:t>
      </w:r>
    </w:p>
    <w:p>
      <w:pPr>
        <w:pStyle w:val="Normalny2"/>
        <w:numPr>
          <w:ilvl w:val="0"/>
          <w:numId w:val="15"/>
        </w:numPr>
        <w:spacing w:before="0" w:after="120"/>
        <w:ind w:left="405" w:hanging="360"/>
        <w:contextualSpacing/>
        <w:jc w:val="both"/>
        <w:rPr>
          <w:sz w:val="15"/>
          <w:szCs w:val="15"/>
          <w:highlight w:val="white"/>
        </w:rPr>
      </w:pPr>
      <w:r>
        <w:rPr>
          <w:sz w:val="15"/>
          <w:szCs w:val="15"/>
          <w:highlight w:val="white"/>
        </w:rPr>
        <w:t>analizuje wyniki przeprowadzonych badań i wprowadza je do karty klienta.</w:t>
      </w:r>
    </w:p>
    <w:p>
      <w:pPr>
        <w:pStyle w:val="Nagwek3"/>
        <w:rPr>
          <w:rFonts w:ascii="Arial" w:hAnsi="Arial" w:eastAsia="Times New Roman" w:cs="Arial"/>
        </w:rPr>
      </w:pPr>
      <w:r>
        <w:rPr>
          <w:rFonts w:eastAsia="Times New Roman" w:cs="Arial" w:ascii="Arial" w:hAnsi="Arial"/>
        </w:rPr>
        <w:t>Zestaw</w:t>
      </w:r>
    </w:p>
    <w:p>
      <w:pPr>
        <w:pStyle w:val="Nagwek4"/>
        <w:rPr>
          <w:rFonts w:ascii="Arial" w:hAnsi="Arial" w:eastAsia="Times New Roman" w:cs="Arial"/>
        </w:rPr>
      </w:pPr>
      <w:r>
        <w:rPr>
          <w:rFonts w:eastAsia="Times New Roman" w:cs="Arial" w:ascii="Arial" w:hAnsi="Arial"/>
        </w:rPr>
        <w:t>Numer zestawu w kwalifikacji</w:t>
      </w:r>
    </w:p>
    <w:p>
      <w:pPr>
        <w:pStyle w:val="Normal"/>
        <w:rPr>
          <w:rFonts w:ascii="Arial" w:hAnsi="Arial" w:eastAsia="Times New Roman" w:cs="Arial"/>
          <w:sz w:val="15"/>
          <w:szCs w:val="15"/>
        </w:rPr>
      </w:pPr>
      <w:r>
        <w:rPr>
          <w:rFonts w:eastAsia="Times New Roman" w:cs="Arial" w:ascii="Arial" w:hAnsi="Arial"/>
          <w:sz w:val="15"/>
          <w:szCs w:val="15"/>
        </w:rPr>
        <w:t>5</w:t>
      </w:r>
    </w:p>
    <w:p>
      <w:pPr>
        <w:pStyle w:val="Nagwek4"/>
        <w:rPr>
          <w:rFonts w:ascii="Arial" w:hAnsi="Arial" w:eastAsia="Times New Roman" w:cs="Arial"/>
        </w:rPr>
      </w:pPr>
      <w:r>
        <w:rPr>
          <w:rFonts w:eastAsia="Times New Roman" w:cs="Arial" w:ascii="Arial" w:hAnsi="Arial"/>
        </w:rPr>
        <w:t>Nazwa zestawu</w:t>
      </w:r>
    </w:p>
    <w:p>
      <w:pPr>
        <w:pStyle w:val="Normal"/>
        <w:rPr>
          <w:rFonts w:ascii="Arial" w:hAnsi="Arial" w:eastAsia="Times New Roman" w:cs="Arial"/>
          <w:sz w:val="15"/>
          <w:szCs w:val="15"/>
        </w:rPr>
      </w:pPr>
      <w:r>
        <w:rPr>
          <w:rFonts w:eastAsia="Times New Roman" w:cs="Arial" w:ascii="Arial" w:hAnsi="Arial"/>
          <w:sz w:val="15"/>
          <w:szCs w:val="15"/>
        </w:rPr>
        <w:t xml:space="preserve">Przeprowadzanie zabiegów podologicznych. </w:t>
      </w:r>
    </w:p>
    <w:p>
      <w:pPr>
        <w:pStyle w:val="Nagwek4"/>
        <w:rPr>
          <w:rFonts w:ascii="Arial" w:hAnsi="Arial" w:eastAsia="Times New Roman" w:cs="Arial"/>
        </w:rPr>
      </w:pPr>
      <w:r>
        <w:rPr>
          <w:rFonts w:eastAsia="Times New Roman" w:cs="Arial" w:ascii="Arial" w:hAnsi="Arial"/>
        </w:rPr>
        <w:t>Poziom PRK</w:t>
      </w:r>
    </w:p>
    <w:p>
      <w:pPr>
        <w:pStyle w:val="Normal"/>
        <w:rPr>
          <w:rFonts w:ascii="Arial" w:hAnsi="Arial" w:eastAsia="Times New Roman" w:cs="Arial"/>
          <w:sz w:val="15"/>
          <w:szCs w:val="15"/>
        </w:rPr>
      </w:pPr>
      <w:r>
        <w:rPr>
          <w:rFonts w:eastAsia="Times New Roman" w:cs="Arial" w:ascii="Arial" w:hAnsi="Arial"/>
          <w:sz w:val="15"/>
          <w:szCs w:val="15"/>
        </w:rPr>
        <w:t>5</w:t>
      </w:r>
    </w:p>
    <w:p>
      <w:pPr>
        <w:pStyle w:val="Nagwek4"/>
        <w:rPr>
          <w:rFonts w:ascii="Arial" w:hAnsi="Arial" w:eastAsia="Times New Roman" w:cs="Arial"/>
        </w:rPr>
      </w:pPr>
      <w:r>
        <w:rPr>
          <w:rFonts w:eastAsia="Times New Roman" w:cs="Arial" w:ascii="Arial" w:hAnsi="Arial"/>
        </w:rPr>
        <w:t>Orientacyjny nakład pracy [godz]</w:t>
      </w:r>
    </w:p>
    <w:p>
      <w:pPr>
        <w:pStyle w:val="Normal"/>
        <w:rPr>
          <w:rFonts w:ascii="Arial" w:hAnsi="Arial" w:eastAsia="Times New Roman" w:cs="Arial"/>
          <w:sz w:val="15"/>
          <w:szCs w:val="15"/>
        </w:rPr>
      </w:pPr>
      <w:r>
        <w:rPr>
          <w:rFonts w:eastAsia="Times New Roman" w:cs="Arial" w:ascii="Arial" w:hAnsi="Arial"/>
          <w:sz w:val="15"/>
          <w:szCs w:val="15"/>
        </w:rPr>
        <w:t>1000</w:t>
      </w:r>
    </w:p>
    <w:p>
      <w:pPr>
        <w:pStyle w:val="Nagwek4"/>
        <w:rPr>
          <w:rFonts w:ascii="Arial" w:hAnsi="Arial" w:eastAsia="Times New Roman" w:cs="Arial"/>
        </w:rPr>
      </w:pPr>
      <w:r>
        <w:rPr>
          <w:rFonts w:eastAsia="Times New Roman" w:cs="Arial" w:ascii="Arial" w:hAnsi="Arial"/>
        </w:rPr>
        <w:t>Rodzaj zestawu</w:t>
      </w:r>
    </w:p>
    <w:p>
      <w:pPr>
        <w:pStyle w:val="Normal"/>
        <w:rPr>
          <w:rFonts w:ascii="Arial" w:hAnsi="Arial" w:eastAsia="Times New Roman" w:cs="Arial"/>
          <w:sz w:val="15"/>
          <w:szCs w:val="15"/>
        </w:rPr>
      </w:pPr>
      <w:r>
        <w:rPr>
          <w:rFonts w:eastAsia="Times New Roman" w:cs="Arial" w:ascii="Arial" w:hAnsi="Arial"/>
          <w:sz w:val="15"/>
          <w:szCs w:val="15"/>
        </w:rPr>
        <w:t>obowiązkowy</w:t>
      </w:r>
    </w:p>
    <w:p>
      <w:pPr>
        <w:pStyle w:val="Nagwek4"/>
        <w:rPr>
          <w:rFonts w:ascii="Arial" w:hAnsi="Arial" w:eastAsia="Times New Roman" w:cs="Arial"/>
        </w:rPr>
      </w:pPr>
      <w:r>
        <w:rPr>
          <w:rFonts w:eastAsia="Times New Roman" w:cs="Arial" w:ascii="Arial" w:hAnsi="Arial"/>
        </w:rPr>
        <w:t>Poszczególne efekty uczenia się oraz kryteria weryfikacji ich osiągnięcia</w:t>
      </w:r>
    </w:p>
    <w:p>
      <w:pPr>
        <w:pStyle w:val="Nagwek5"/>
        <w:rPr>
          <w:rFonts w:ascii="Arial" w:hAnsi="Arial" w:eastAsia="Times New Roman" w:cs="Arial"/>
        </w:rPr>
      </w:pPr>
      <w:r>
        <w:rPr>
          <w:rFonts w:eastAsia="Times New Roman" w:cs="Arial" w:ascii="Arial" w:hAnsi="Arial"/>
        </w:rPr>
        <w:t>Efekt uczenia</w:t>
      </w:r>
    </w:p>
    <w:p>
      <w:pPr>
        <w:pStyle w:val="Normal"/>
        <w:rPr>
          <w:rFonts w:ascii="Arial" w:hAnsi="Arial" w:eastAsia="Times New Roman" w:cs="Arial"/>
          <w:sz w:val="15"/>
          <w:szCs w:val="15"/>
        </w:rPr>
      </w:pPr>
      <w:r>
        <w:rPr>
          <w:rFonts w:eastAsia="Times New Roman" w:cs="Arial" w:ascii="Arial" w:hAnsi="Arial"/>
          <w:sz w:val="15"/>
          <w:szCs w:val="15"/>
        </w:rPr>
        <w:t>a) Organizuje stanowisko pracy</w:t>
      </w:r>
    </w:p>
    <w:p>
      <w:pPr>
        <w:pStyle w:val="Nagwek5"/>
        <w:rPr>
          <w:rFonts w:ascii="Arial" w:hAnsi="Arial" w:eastAsia="Times New Roman" w:cs="Arial"/>
        </w:rPr>
      </w:pPr>
      <w:r>
        <w:rPr>
          <w:rFonts w:eastAsia="Times New Roman" w:cs="Arial" w:ascii="Arial" w:hAnsi="Arial"/>
        </w:rPr>
        <w:t>Kryteria weryfikacji</w:t>
      </w:r>
    </w:p>
    <w:p>
      <w:pPr>
        <w:pStyle w:val="Normalny2"/>
        <w:numPr>
          <w:ilvl w:val="0"/>
          <w:numId w:val="16"/>
        </w:numPr>
        <w:spacing w:before="0" w:after="120"/>
        <w:ind w:left="405" w:hanging="360"/>
        <w:contextualSpacing/>
        <w:jc w:val="both"/>
        <w:rPr>
          <w:sz w:val="15"/>
          <w:szCs w:val="15"/>
          <w:highlight w:val="white"/>
        </w:rPr>
      </w:pPr>
      <w:r>
        <w:rPr>
          <w:sz w:val="15"/>
          <w:szCs w:val="15"/>
          <w:highlight w:val="white"/>
        </w:rPr>
        <w:t>sprawdza stan przygotowania gabinetu do zabiegu (wyposażenie w narzędzia, materiały, środki),</w:t>
      </w:r>
    </w:p>
    <w:p>
      <w:pPr>
        <w:pStyle w:val="Normalny2"/>
        <w:numPr>
          <w:ilvl w:val="0"/>
          <w:numId w:val="16"/>
        </w:numPr>
        <w:spacing w:before="0" w:after="120"/>
        <w:ind w:left="405" w:hanging="360"/>
        <w:contextualSpacing/>
        <w:jc w:val="both"/>
        <w:rPr>
          <w:sz w:val="15"/>
          <w:szCs w:val="15"/>
          <w:highlight w:val="white"/>
        </w:rPr>
      </w:pPr>
      <w:r>
        <w:rPr>
          <w:sz w:val="15"/>
          <w:szCs w:val="15"/>
          <w:highlight w:val="white"/>
        </w:rPr>
        <w:t>stosuje zasady BHP (ergonomia, antyseptyka, środki ochrony indywidualnej, aseptyka, sterylizacja, dezynfekcja),</w:t>
      </w:r>
    </w:p>
    <w:p>
      <w:pPr>
        <w:pStyle w:val="Normalny2"/>
        <w:numPr>
          <w:ilvl w:val="0"/>
          <w:numId w:val="16"/>
        </w:numPr>
        <w:spacing w:before="0" w:after="120"/>
        <w:ind w:left="405" w:hanging="360"/>
        <w:contextualSpacing/>
        <w:jc w:val="both"/>
        <w:rPr>
          <w:sz w:val="15"/>
          <w:szCs w:val="15"/>
          <w:highlight w:val="white"/>
        </w:rPr>
      </w:pPr>
      <w:r>
        <w:rPr>
          <w:sz w:val="15"/>
          <w:szCs w:val="15"/>
          <w:highlight w:val="white"/>
        </w:rPr>
        <w:t>dobiera narzędzia podologiczne adekwatnie do rozpoznania,</w:t>
      </w:r>
    </w:p>
    <w:p>
      <w:pPr>
        <w:pStyle w:val="Normalny2"/>
        <w:numPr>
          <w:ilvl w:val="0"/>
          <w:numId w:val="16"/>
        </w:numPr>
        <w:spacing w:before="0" w:after="120"/>
        <w:ind w:left="405" w:hanging="360"/>
        <w:contextualSpacing/>
        <w:jc w:val="both"/>
        <w:rPr>
          <w:sz w:val="15"/>
          <w:szCs w:val="15"/>
          <w:highlight w:val="white"/>
        </w:rPr>
      </w:pPr>
      <w:r>
        <w:rPr>
          <w:sz w:val="15"/>
          <w:szCs w:val="15"/>
          <w:highlight w:val="white"/>
        </w:rPr>
        <w:t>sprawdza przygotowanie klienta do zabiegu uwzględniając aktualne przeciwwskazania, w przypadku konieczności pomaga klientowi  (m.in. doprowadzenie do fotela, umieszczenie na fotelu w wygodnej pozycji, odsłonięcie goleni i stóp ),</w:t>
      </w:r>
    </w:p>
    <w:p>
      <w:pPr>
        <w:pStyle w:val="Normalny2"/>
        <w:numPr>
          <w:ilvl w:val="0"/>
          <w:numId w:val="16"/>
        </w:numPr>
        <w:spacing w:before="0" w:after="120"/>
        <w:ind w:left="405" w:hanging="360"/>
        <w:contextualSpacing/>
        <w:jc w:val="both"/>
        <w:rPr>
          <w:sz w:val="15"/>
          <w:szCs w:val="15"/>
          <w:highlight w:val="white"/>
        </w:rPr>
      </w:pPr>
      <w:r>
        <w:rPr>
          <w:sz w:val="15"/>
          <w:szCs w:val="15"/>
          <w:highlight w:val="white"/>
        </w:rPr>
        <w:t>przygotowuje stopy klienta  do zabiegu.</w:t>
      </w:r>
    </w:p>
    <w:p>
      <w:pPr>
        <w:pStyle w:val="Nagwek5"/>
        <w:rPr>
          <w:rFonts w:ascii="Arial" w:hAnsi="Arial" w:eastAsia="Times New Roman" w:cs="Arial"/>
        </w:rPr>
      </w:pPr>
      <w:r>
        <w:rPr>
          <w:rFonts w:eastAsia="Times New Roman" w:cs="Arial" w:ascii="Arial" w:hAnsi="Arial"/>
        </w:rPr>
        <w:t>Efekt uczenia</w:t>
      </w:r>
    </w:p>
    <w:p>
      <w:pPr>
        <w:pStyle w:val="Normal"/>
        <w:rPr>
          <w:rFonts w:ascii="Arial" w:hAnsi="Arial" w:eastAsia="Times New Roman" w:cs="Arial"/>
          <w:sz w:val="15"/>
          <w:szCs w:val="15"/>
        </w:rPr>
      </w:pPr>
      <w:r>
        <w:rPr>
          <w:rFonts w:eastAsia="Times New Roman" w:cs="Arial" w:ascii="Arial" w:hAnsi="Arial"/>
          <w:sz w:val="15"/>
          <w:szCs w:val="15"/>
        </w:rPr>
        <w:t xml:space="preserve">b) Wykonuje zabiegi na skórze </w:t>
      </w:r>
    </w:p>
    <w:p>
      <w:pPr>
        <w:pStyle w:val="Nagwek5"/>
        <w:rPr>
          <w:rFonts w:ascii="Arial" w:hAnsi="Arial" w:eastAsia="Times New Roman" w:cs="Arial"/>
        </w:rPr>
      </w:pPr>
      <w:r>
        <w:rPr>
          <w:rFonts w:eastAsia="Times New Roman" w:cs="Arial" w:ascii="Arial" w:hAnsi="Arial"/>
        </w:rPr>
        <w:t>Kryteria weryfikacji</w:t>
      </w:r>
    </w:p>
    <w:p>
      <w:pPr>
        <w:pStyle w:val="Normalny2"/>
        <w:numPr>
          <w:ilvl w:val="0"/>
          <w:numId w:val="16"/>
        </w:numPr>
        <w:spacing w:before="0" w:after="120"/>
        <w:ind w:left="405" w:hanging="360"/>
        <w:contextualSpacing/>
        <w:jc w:val="both"/>
        <w:rPr>
          <w:sz w:val="15"/>
          <w:szCs w:val="15"/>
          <w:highlight w:val="white"/>
        </w:rPr>
      </w:pPr>
      <w:r>
        <w:rPr>
          <w:sz w:val="15"/>
          <w:szCs w:val="15"/>
          <w:highlight w:val="white"/>
        </w:rPr>
        <w:t>usuwa (np. zrogowaciały naskórek, rozpadliny, pęknięcia, maceracje) za pomocą narzędzi i urządzeń podologicznych (np. frezarka, turbina, skalpel, frezy),</w:t>
      </w:r>
    </w:p>
    <w:p>
      <w:pPr>
        <w:pStyle w:val="Normalny2"/>
        <w:numPr>
          <w:ilvl w:val="0"/>
          <w:numId w:val="16"/>
        </w:numPr>
        <w:spacing w:before="0" w:after="120"/>
        <w:ind w:left="405" w:hanging="360"/>
        <w:contextualSpacing/>
        <w:jc w:val="both"/>
        <w:rPr>
          <w:sz w:val="15"/>
          <w:szCs w:val="15"/>
          <w:highlight w:val="white"/>
        </w:rPr>
      </w:pPr>
      <w:r>
        <w:rPr>
          <w:sz w:val="15"/>
          <w:szCs w:val="15"/>
          <w:highlight w:val="white"/>
        </w:rPr>
        <w:t>eliminuje odcisk za pomocą instrumentów i metod nie przerywających ciągłości tkanek (mechanicznie, chemicznie),</w:t>
      </w:r>
    </w:p>
    <w:p>
      <w:pPr>
        <w:pStyle w:val="Normalny2"/>
        <w:numPr>
          <w:ilvl w:val="0"/>
          <w:numId w:val="16"/>
        </w:numPr>
        <w:spacing w:before="0" w:after="120"/>
        <w:ind w:left="405" w:hanging="360"/>
        <w:contextualSpacing/>
        <w:jc w:val="both"/>
        <w:rPr>
          <w:sz w:val="15"/>
          <w:szCs w:val="15"/>
          <w:highlight w:val="white"/>
        </w:rPr>
      </w:pPr>
      <w:r>
        <w:rPr>
          <w:sz w:val="15"/>
          <w:szCs w:val="15"/>
          <w:highlight w:val="white"/>
        </w:rPr>
        <w:t>eliminuje brodawkę wirusową za pomocą instrumentów i metod nie przerywających ciągłości tkanek  (np. mechanicznie, chemicznie, fizykalnie),</w:t>
      </w:r>
    </w:p>
    <w:p>
      <w:pPr>
        <w:pStyle w:val="Normalny2"/>
        <w:numPr>
          <w:ilvl w:val="0"/>
          <w:numId w:val="16"/>
        </w:numPr>
        <w:spacing w:before="0" w:after="120"/>
        <w:ind w:left="405" w:hanging="360"/>
        <w:contextualSpacing/>
        <w:jc w:val="both"/>
        <w:rPr>
          <w:sz w:val="15"/>
          <w:szCs w:val="15"/>
          <w:highlight w:val="white"/>
        </w:rPr>
      </w:pPr>
      <w:r>
        <w:rPr>
          <w:sz w:val="15"/>
          <w:szCs w:val="15"/>
          <w:highlight w:val="white"/>
        </w:rPr>
        <w:t>dobiera i aplikuje preparat pod opatrunek ochronny lub ochronno – odciążający,</w:t>
      </w:r>
    </w:p>
    <w:p>
      <w:pPr>
        <w:pStyle w:val="Normalny2"/>
        <w:numPr>
          <w:ilvl w:val="0"/>
          <w:numId w:val="16"/>
        </w:numPr>
        <w:spacing w:before="0" w:after="120"/>
        <w:ind w:left="405" w:hanging="360"/>
        <w:contextualSpacing/>
        <w:jc w:val="both"/>
        <w:rPr>
          <w:sz w:val="15"/>
          <w:szCs w:val="15"/>
          <w:highlight w:val="white"/>
        </w:rPr>
      </w:pPr>
      <w:r>
        <w:rPr>
          <w:sz w:val="15"/>
          <w:szCs w:val="15"/>
          <w:highlight w:val="white"/>
        </w:rPr>
        <w:t>dobiera preparaty pielęgnacyjne do zabiegu (np. środki ściągające, dezynfekujące, wysuszające, hemostatyczne),</w:t>
      </w:r>
    </w:p>
    <w:p>
      <w:pPr>
        <w:pStyle w:val="Normalny2"/>
        <w:numPr>
          <w:ilvl w:val="0"/>
          <w:numId w:val="16"/>
        </w:numPr>
        <w:spacing w:before="0" w:after="120"/>
        <w:ind w:left="405" w:hanging="360"/>
        <w:contextualSpacing/>
        <w:jc w:val="both"/>
        <w:rPr>
          <w:sz w:val="15"/>
          <w:szCs w:val="15"/>
          <w:highlight w:val="white"/>
        </w:rPr>
      </w:pPr>
      <w:r>
        <w:rPr>
          <w:sz w:val="15"/>
          <w:szCs w:val="15"/>
          <w:highlight w:val="white"/>
        </w:rPr>
        <w:t>wprowadza preparaty za pomocą ruchu masażu.</w:t>
      </w:r>
    </w:p>
    <w:p>
      <w:pPr>
        <w:pStyle w:val="Nagwek5"/>
        <w:rPr>
          <w:rFonts w:ascii="Arial" w:hAnsi="Arial" w:eastAsia="Times New Roman" w:cs="Arial"/>
        </w:rPr>
      </w:pPr>
      <w:r>
        <w:rPr>
          <w:rFonts w:eastAsia="Times New Roman" w:cs="Arial" w:ascii="Arial" w:hAnsi="Arial"/>
        </w:rPr>
        <w:t>Efekt uczenia</w:t>
      </w:r>
    </w:p>
    <w:p>
      <w:pPr>
        <w:pStyle w:val="Normal"/>
        <w:rPr>
          <w:rFonts w:ascii="Arial" w:hAnsi="Arial" w:eastAsia="Times New Roman" w:cs="Arial"/>
          <w:sz w:val="15"/>
          <w:szCs w:val="15"/>
        </w:rPr>
      </w:pPr>
      <w:r>
        <w:rPr>
          <w:rFonts w:eastAsia="Times New Roman" w:cs="Arial" w:ascii="Arial" w:hAnsi="Arial"/>
          <w:sz w:val="15"/>
          <w:szCs w:val="15"/>
        </w:rPr>
        <w:t>c) Wykonuje zabiegi na paznokciu</w:t>
      </w:r>
    </w:p>
    <w:p>
      <w:pPr>
        <w:pStyle w:val="Nagwek5"/>
        <w:rPr>
          <w:rFonts w:ascii="Arial" w:hAnsi="Arial" w:eastAsia="Times New Roman" w:cs="Arial"/>
        </w:rPr>
      </w:pPr>
      <w:r>
        <w:rPr>
          <w:rFonts w:eastAsia="Times New Roman" w:cs="Arial" w:ascii="Arial" w:hAnsi="Arial"/>
        </w:rPr>
        <w:t>Kryteria weryfikacji</w:t>
      </w:r>
    </w:p>
    <w:p>
      <w:pPr>
        <w:pStyle w:val="Normalny2"/>
        <w:numPr>
          <w:ilvl w:val="0"/>
          <w:numId w:val="16"/>
        </w:numPr>
        <w:spacing w:before="0" w:after="120"/>
        <w:ind w:left="405" w:hanging="360"/>
        <w:contextualSpacing/>
        <w:jc w:val="both"/>
        <w:rPr>
          <w:sz w:val="15"/>
          <w:szCs w:val="15"/>
          <w:highlight w:val="white"/>
        </w:rPr>
      </w:pPr>
      <w:r>
        <w:rPr>
          <w:sz w:val="15"/>
          <w:szCs w:val="15"/>
          <w:highlight w:val="white"/>
        </w:rPr>
        <w:t>skraca i opracowuje paznokcie odpowiednio do rozpoznania (np. wrośniętego i wkręconego fragmentu, nadmiernych zrogowaceń płytki paznokciowej, łożyska i wałów około paznokciowych, paznokci zmienionych chorobowo i zdeformowanych),</w:t>
      </w:r>
    </w:p>
    <w:p>
      <w:pPr>
        <w:pStyle w:val="Normalny2"/>
        <w:numPr>
          <w:ilvl w:val="0"/>
          <w:numId w:val="16"/>
        </w:numPr>
        <w:spacing w:before="0" w:after="120"/>
        <w:ind w:left="405" w:hanging="360"/>
        <w:contextualSpacing/>
        <w:jc w:val="both"/>
        <w:rPr>
          <w:sz w:val="15"/>
          <w:szCs w:val="15"/>
          <w:highlight w:val="white"/>
        </w:rPr>
      </w:pPr>
      <w:r>
        <w:rPr>
          <w:sz w:val="15"/>
          <w:szCs w:val="15"/>
          <w:highlight w:val="white"/>
        </w:rPr>
        <w:t>wykonuje rekonstrukcję w przypadku ubytków jednostki paznokciowej (m.in. metoda akrylowa, żelowa, masa paznokciowa),</w:t>
      </w:r>
    </w:p>
    <w:p>
      <w:pPr>
        <w:pStyle w:val="Normalny2"/>
        <w:numPr>
          <w:ilvl w:val="0"/>
          <w:numId w:val="16"/>
        </w:numPr>
        <w:spacing w:before="0" w:after="120"/>
        <w:ind w:left="405" w:hanging="360"/>
        <w:contextualSpacing/>
        <w:jc w:val="both"/>
        <w:rPr>
          <w:sz w:val="15"/>
          <w:szCs w:val="15"/>
          <w:highlight w:val="white"/>
        </w:rPr>
      </w:pPr>
      <w:r>
        <w:rPr>
          <w:sz w:val="15"/>
          <w:szCs w:val="15"/>
          <w:highlight w:val="white"/>
        </w:rPr>
        <w:t>wykonuje i aplikuje metalową klamrę ortonyksyjną dostępną na rynku,</w:t>
      </w:r>
    </w:p>
    <w:p>
      <w:pPr>
        <w:pStyle w:val="Normalny2"/>
        <w:numPr>
          <w:ilvl w:val="0"/>
          <w:numId w:val="16"/>
        </w:numPr>
        <w:spacing w:before="0" w:after="120"/>
        <w:ind w:left="405" w:hanging="360"/>
        <w:contextualSpacing/>
        <w:jc w:val="both"/>
        <w:rPr>
          <w:sz w:val="15"/>
          <w:szCs w:val="15"/>
          <w:highlight w:val="white"/>
        </w:rPr>
      </w:pPr>
      <w:r>
        <w:rPr>
          <w:sz w:val="15"/>
          <w:szCs w:val="15"/>
          <w:highlight w:val="white"/>
        </w:rPr>
        <w:t>wykonuje tamponadę wałów okołopaznokciowych,</w:t>
      </w:r>
    </w:p>
    <w:p>
      <w:pPr>
        <w:pStyle w:val="Normalny2"/>
        <w:numPr>
          <w:ilvl w:val="0"/>
          <w:numId w:val="16"/>
        </w:numPr>
        <w:spacing w:before="0" w:after="120"/>
        <w:ind w:left="405" w:hanging="360"/>
        <w:contextualSpacing/>
        <w:jc w:val="both"/>
        <w:rPr>
          <w:sz w:val="15"/>
          <w:szCs w:val="15"/>
          <w:highlight w:val="white"/>
        </w:rPr>
      </w:pPr>
      <w:r>
        <w:rPr>
          <w:sz w:val="15"/>
          <w:szCs w:val="15"/>
          <w:highlight w:val="white"/>
        </w:rPr>
        <w:t>wykonuje  zabiegi  korekcji paznokci wrastających lub wkręcających (np. tamponada, metody akrylowe),</w:t>
      </w:r>
    </w:p>
    <w:p>
      <w:pPr>
        <w:pStyle w:val="Normalny2"/>
        <w:numPr>
          <w:ilvl w:val="0"/>
          <w:numId w:val="16"/>
        </w:numPr>
        <w:spacing w:before="0" w:after="120"/>
        <w:ind w:left="405" w:hanging="360"/>
        <w:contextualSpacing/>
        <w:jc w:val="both"/>
        <w:rPr>
          <w:sz w:val="15"/>
          <w:szCs w:val="15"/>
          <w:highlight w:val="white"/>
        </w:rPr>
      </w:pPr>
      <w:r>
        <w:rPr>
          <w:sz w:val="15"/>
          <w:szCs w:val="15"/>
          <w:highlight w:val="white"/>
        </w:rPr>
        <w:t>dobiera i aplikuje preparat pod opatrunek ochronny lub ochronno – odciążający.</w:t>
      </w:r>
    </w:p>
    <w:p>
      <w:pPr>
        <w:pStyle w:val="Nagwek5"/>
        <w:rPr>
          <w:rFonts w:ascii="Arial" w:hAnsi="Arial" w:eastAsia="Times New Roman" w:cs="Arial"/>
        </w:rPr>
      </w:pPr>
      <w:r>
        <w:rPr>
          <w:rFonts w:eastAsia="Times New Roman" w:cs="Arial" w:ascii="Arial" w:hAnsi="Arial"/>
        </w:rPr>
        <w:t>Efekt uczenia</w:t>
      </w:r>
    </w:p>
    <w:p>
      <w:pPr>
        <w:pStyle w:val="Normal"/>
        <w:rPr>
          <w:rFonts w:ascii="Arial" w:hAnsi="Arial" w:eastAsia="Times New Roman" w:cs="Arial"/>
          <w:sz w:val="15"/>
          <w:szCs w:val="15"/>
        </w:rPr>
      </w:pPr>
      <w:r>
        <w:rPr>
          <w:rFonts w:eastAsia="Times New Roman" w:cs="Arial" w:ascii="Arial" w:hAnsi="Arial"/>
          <w:sz w:val="15"/>
          <w:szCs w:val="15"/>
        </w:rPr>
        <w:t>d) Wykonuje odciążenia i ortozy</w:t>
      </w:r>
    </w:p>
    <w:p>
      <w:pPr>
        <w:pStyle w:val="Nagwek5"/>
        <w:jc w:val="both"/>
        <w:rPr>
          <w:rFonts w:ascii="Arial" w:hAnsi="Arial" w:eastAsia="Times New Roman" w:cs="Arial"/>
        </w:rPr>
      </w:pPr>
      <w:r>
        <w:rPr>
          <w:rFonts w:eastAsia="Times New Roman" w:cs="Arial" w:ascii="Arial" w:hAnsi="Arial"/>
        </w:rPr>
        <w:t>Kryteria weryfikacji</w:t>
      </w:r>
    </w:p>
    <w:p>
      <w:pPr>
        <w:pStyle w:val="Normalny2"/>
        <w:numPr>
          <w:ilvl w:val="0"/>
          <w:numId w:val="16"/>
        </w:numPr>
        <w:spacing w:before="0" w:after="120"/>
        <w:ind w:left="405" w:hanging="360"/>
        <w:contextualSpacing/>
        <w:jc w:val="both"/>
        <w:rPr>
          <w:sz w:val="15"/>
          <w:szCs w:val="15"/>
          <w:highlight w:val="white"/>
        </w:rPr>
      </w:pPr>
      <w:r>
        <w:rPr>
          <w:sz w:val="15"/>
          <w:szCs w:val="15"/>
          <w:highlight w:val="white"/>
        </w:rPr>
        <w:t>dobiera materiał odciążający odpowiednio do rozpoznania biomechanicznego i wskazań,</w:t>
      </w:r>
    </w:p>
    <w:p>
      <w:pPr>
        <w:pStyle w:val="Normalny2"/>
        <w:numPr>
          <w:ilvl w:val="0"/>
          <w:numId w:val="16"/>
        </w:numPr>
        <w:spacing w:before="0" w:after="120"/>
        <w:ind w:left="405" w:hanging="360"/>
        <w:contextualSpacing/>
        <w:jc w:val="both"/>
        <w:rPr>
          <w:sz w:val="15"/>
          <w:szCs w:val="15"/>
          <w:highlight w:val="white"/>
        </w:rPr>
      </w:pPr>
      <w:r>
        <w:rPr>
          <w:sz w:val="15"/>
          <w:szCs w:val="15"/>
          <w:highlight w:val="white"/>
        </w:rPr>
        <w:t>wykonuje formę odciążenia dobraną odpowiednio do wskazań;</w:t>
      </w:r>
    </w:p>
    <w:p>
      <w:pPr>
        <w:pStyle w:val="Normalny2"/>
        <w:numPr>
          <w:ilvl w:val="0"/>
          <w:numId w:val="16"/>
        </w:numPr>
        <w:spacing w:before="0" w:after="120"/>
        <w:ind w:left="405" w:hanging="360"/>
        <w:contextualSpacing/>
        <w:jc w:val="both"/>
        <w:rPr>
          <w:sz w:val="15"/>
          <w:szCs w:val="15"/>
          <w:highlight w:val="white"/>
        </w:rPr>
      </w:pPr>
      <w:r>
        <w:rPr>
          <w:sz w:val="15"/>
          <w:szCs w:val="15"/>
          <w:highlight w:val="white"/>
        </w:rPr>
        <w:t>wykonuje ortozę z masy ortoplastycznej,</w:t>
      </w:r>
    </w:p>
    <w:p>
      <w:pPr>
        <w:pStyle w:val="Normalny2"/>
        <w:numPr>
          <w:ilvl w:val="0"/>
          <w:numId w:val="16"/>
        </w:numPr>
        <w:spacing w:before="0" w:after="120"/>
        <w:ind w:left="405" w:hanging="360"/>
        <w:contextualSpacing/>
        <w:jc w:val="both"/>
        <w:rPr>
          <w:sz w:val="15"/>
          <w:szCs w:val="15"/>
          <w:highlight w:val="white"/>
        </w:rPr>
      </w:pPr>
      <w:r>
        <w:rPr>
          <w:sz w:val="15"/>
          <w:szCs w:val="15"/>
          <w:highlight w:val="white"/>
        </w:rPr>
        <w:t>przymierza ortozę klientowi i sprawdza jej funkcjonalność</w:t>
      </w:r>
    </w:p>
    <w:p>
      <w:pPr>
        <w:pStyle w:val="Nagwek5"/>
        <w:rPr>
          <w:rFonts w:ascii="Arial" w:hAnsi="Arial" w:eastAsia="Times New Roman" w:cs="Arial"/>
        </w:rPr>
      </w:pPr>
      <w:r>
        <w:rPr>
          <w:rFonts w:eastAsia="Times New Roman" w:cs="Arial" w:ascii="Arial" w:hAnsi="Arial"/>
        </w:rPr>
        <w:t>Efekt uczenia</w:t>
      </w:r>
    </w:p>
    <w:p>
      <w:pPr>
        <w:pStyle w:val="Normal"/>
        <w:rPr>
          <w:rFonts w:ascii="Arial" w:hAnsi="Arial" w:eastAsia="Times New Roman" w:cs="Arial"/>
          <w:sz w:val="15"/>
          <w:szCs w:val="15"/>
        </w:rPr>
      </w:pPr>
      <w:r>
        <w:rPr>
          <w:rFonts w:eastAsia="Times New Roman" w:cs="Arial" w:ascii="Arial" w:hAnsi="Arial"/>
          <w:sz w:val="15"/>
          <w:szCs w:val="15"/>
        </w:rPr>
        <w:t>e) Pobiera materiał do badań</w:t>
      </w:r>
    </w:p>
    <w:p>
      <w:pPr>
        <w:pStyle w:val="Nagwek5"/>
        <w:rPr>
          <w:rFonts w:ascii="Arial" w:hAnsi="Arial" w:eastAsia="Times New Roman" w:cs="Arial"/>
        </w:rPr>
      </w:pPr>
      <w:r>
        <w:rPr>
          <w:rFonts w:eastAsia="Times New Roman" w:cs="Arial" w:ascii="Arial" w:hAnsi="Arial"/>
        </w:rPr>
        <w:t>Kryteria weryfikacji</w:t>
      </w:r>
    </w:p>
    <w:p>
      <w:pPr>
        <w:pStyle w:val="Normalny2"/>
        <w:numPr>
          <w:ilvl w:val="0"/>
          <w:numId w:val="16"/>
        </w:numPr>
        <w:spacing w:before="0" w:after="120"/>
        <w:ind w:left="405" w:hanging="360"/>
        <w:contextualSpacing/>
        <w:jc w:val="both"/>
        <w:rPr>
          <w:sz w:val="15"/>
          <w:szCs w:val="15"/>
          <w:highlight w:val="white"/>
        </w:rPr>
      </w:pPr>
      <w:r>
        <w:rPr>
          <w:sz w:val="15"/>
          <w:szCs w:val="15"/>
          <w:highlight w:val="white"/>
        </w:rPr>
        <w:t>dobiera materiały i narzędzia do pobrania próbki do badań (np. skalpel, frez, wymazówka, probówka) zgodnie ze wstępnym rozpoznaniem,</w:t>
      </w:r>
    </w:p>
    <w:p>
      <w:pPr>
        <w:pStyle w:val="Normalny2"/>
        <w:numPr>
          <w:ilvl w:val="0"/>
          <w:numId w:val="16"/>
        </w:numPr>
        <w:spacing w:before="0" w:after="120"/>
        <w:ind w:left="405" w:hanging="360"/>
        <w:contextualSpacing/>
        <w:jc w:val="both"/>
        <w:rPr>
          <w:sz w:val="15"/>
          <w:szCs w:val="15"/>
          <w:highlight w:val="white"/>
        </w:rPr>
      </w:pPr>
      <w:r>
        <w:rPr>
          <w:sz w:val="15"/>
          <w:szCs w:val="15"/>
          <w:highlight w:val="white"/>
        </w:rPr>
        <w:t>pobiera materiał do badań,</w:t>
      </w:r>
    </w:p>
    <w:p>
      <w:pPr>
        <w:pStyle w:val="Normalny2"/>
        <w:numPr>
          <w:ilvl w:val="0"/>
          <w:numId w:val="16"/>
        </w:numPr>
        <w:spacing w:before="0" w:after="120"/>
        <w:ind w:left="405" w:hanging="360"/>
        <w:contextualSpacing/>
        <w:jc w:val="both"/>
        <w:rPr>
          <w:sz w:val="15"/>
          <w:szCs w:val="15"/>
          <w:highlight w:val="white"/>
        </w:rPr>
      </w:pPr>
      <w:r>
        <w:rPr>
          <w:sz w:val="15"/>
          <w:szCs w:val="15"/>
          <w:highlight w:val="white"/>
        </w:rPr>
        <w:t>zabezpiecza pobrany materiał i przygotowuje do transportu,</w:t>
      </w:r>
    </w:p>
    <w:p>
      <w:pPr>
        <w:pStyle w:val="Normalny2"/>
        <w:numPr>
          <w:ilvl w:val="0"/>
          <w:numId w:val="16"/>
        </w:numPr>
        <w:spacing w:before="0" w:after="120"/>
        <w:ind w:left="405" w:hanging="360"/>
        <w:contextualSpacing/>
        <w:jc w:val="both"/>
        <w:rPr>
          <w:sz w:val="15"/>
          <w:szCs w:val="15"/>
          <w:highlight w:val="white"/>
        </w:rPr>
      </w:pPr>
      <w:r>
        <w:rPr>
          <w:sz w:val="15"/>
          <w:szCs w:val="15"/>
          <w:highlight w:val="white"/>
        </w:rPr>
        <w:t>zaleca wykonanie badania mykologicznego/bakteriologicznego zgodnie z procedurami laboratorium</w:t>
      </w:r>
      <w:r>
        <w:rPr>
          <w:highlight w:val="white"/>
        </w:rPr>
        <w:t>.</w:t>
      </w:r>
    </w:p>
    <w:p>
      <w:pPr>
        <w:pStyle w:val="Nagwek5"/>
        <w:rPr>
          <w:rFonts w:ascii="Arial" w:hAnsi="Arial" w:eastAsia="Times New Roman" w:cs="Arial"/>
        </w:rPr>
      </w:pPr>
      <w:r>
        <w:rPr>
          <w:rFonts w:eastAsia="Times New Roman" w:cs="Arial" w:ascii="Arial" w:hAnsi="Arial"/>
        </w:rPr>
        <w:t>Efekt uczenia</w:t>
      </w:r>
    </w:p>
    <w:p>
      <w:pPr>
        <w:pStyle w:val="Normal"/>
        <w:rPr>
          <w:rFonts w:ascii="Arial" w:hAnsi="Arial" w:eastAsia="Times New Roman" w:cs="Arial"/>
          <w:sz w:val="15"/>
          <w:szCs w:val="15"/>
        </w:rPr>
      </w:pPr>
      <w:r>
        <w:rPr>
          <w:rFonts w:eastAsia="Times New Roman" w:cs="Arial" w:ascii="Arial" w:hAnsi="Arial"/>
          <w:sz w:val="15"/>
          <w:szCs w:val="15"/>
        </w:rPr>
        <w:t>f) Zabezpiecza patologiczne zmiany w obrębie stóp</w:t>
      </w:r>
    </w:p>
    <w:p>
      <w:pPr>
        <w:pStyle w:val="Nagwek5"/>
        <w:rPr>
          <w:rFonts w:ascii="Arial" w:hAnsi="Arial" w:eastAsia="Times New Roman" w:cs="Arial"/>
        </w:rPr>
      </w:pPr>
      <w:r>
        <w:rPr>
          <w:rFonts w:eastAsia="Times New Roman" w:cs="Arial" w:ascii="Arial" w:hAnsi="Arial"/>
        </w:rPr>
        <w:t>Kryteria weryfikacji</w:t>
      </w:r>
    </w:p>
    <w:p>
      <w:pPr>
        <w:pStyle w:val="Normalny2"/>
        <w:numPr>
          <w:ilvl w:val="0"/>
          <w:numId w:val="16"/>
        </w:numPr>
        <w:spacing w:before="0" w:after="120"/>
        <w:ind w:left="405" w:hanging="360"/>
        <w:contextualSpacing/>
        <w:jc w:val="both"/>
        <w:rPr>
          <w:sz w:val="15"/>
          <w:szCs w:val="15"/>
          <w:highlight w:val="white"/>
        </w:rPr>
      </w:pPr>
      <w:r>
        <w:rPr>
          <w:sz w:val="15"/>
          <w:szCs w:val="15"/>
          <w:highlight w:val="white"/>
        </w:rPr>
        <w:t>dezynfekuje i oczyszcza patologiczne zmiany w obrębie stóp bez naruszenia integralności tkanek,</w:t>
      </w:r>
    </w:p>
    <w:p>
      <w:pPr>
        <w:pStyle w:val="Normalny2"/>
        <w:numPr>
          <w:ilvl w:val="0"/>
          <w:numId w:val="16"/>
        </w:numPr>
        <w:spacing w:before="0" w:after="120"/>
        <w:ind w:left="405" w:hanging="360"/>
        <w:contextualSpacing/>
        <w:jc w:val="both"/>
        <w:rPr>
          <w:sz w:val="15"/>
          <w:szCs w:val="15"/>
          <w:highlight w:val="white"/>
        </w:rPr>
      </w:pPr>
      <w:r>
        <w:rPr>
          <w:sz w:val="15"/>
          <w:szCs w:val="15"/>
          <w:highlight w:val="white"/>
        </w:rPr>
        <w:t>dobiera i zakłada opatrunek zgodnie z rozpoznaniem.</w:t>
      </w:r>
    </w:p>
    <w:p>
      <w:pPr>
        <w:pStyle w:val="Nagwek3"/>
        <w:rPr>
          <w:rFonts w:ascii="Arial" w:hAnsi="Arial" w:eastAsia="Times New Roman" w:cs="Arial"/>
        </w:rPr>
      </w:pPr>
      <w:r>
        <w:rPr>
          <w:rFonts w:eastAsia="Times New Roman" w:cs="Arial" w:ascii="Arial" w:hAnsi="Arial"/>
        </w:rPr>
        <w:t>Zestaw</w:t>
      </w:r>
    </w:p>
    <w:p>
      <w:pPr>
        <w:pStyle w:val="Nagwek4"/>
        <w:rPr>
          <w:rFonts w:ascii="Arial" w:hAnsi="Arial" w:eastAsia="Times New Roman" w:cs="Arial"/>
        </w:rPr>
      </w:pPr>
      <w:r>
        <w:rPr>
          <w:rFonts w:eastAsia="Times New Roman" w:cs="Arial" w:ascii="Arial" w:hAnsi="Arial"/>
        </w:rPr>
        <w:t>Numer zestawu w kwalifikacji</w:t>
      </w:r>
    </w:p>
    <w:p>
      <w:pPr>
        <w:pStyle w:val="Normal"/>
        <w:rPr>
          <w:rFonts w:ascii="Arial" w:hAnsi="Arial" w:eastAsia="Times New Roman" w:cs="Arial"/>
          <w:sz w:val="15"/>
          <w:szCs w:val="15"/>
        </w:rPr>
      </w:pPr>
      <w:r>
        <w:rPr>
          <w:rFonts w:eastAsia="Times New Roman" w:cs="Arial" w:ascii="Arial" w:hAnsi="Arial"/>
          <w:sz w:val="15"/>
          <w:szCs w:val="15"/>
        </w:rPr>
        <w:t>6</w:t>
      </w:r>
    </w:p>
    <w:p>
      <w:pPr>
        <w:pStyle w:val="Nagwek4"/>
        <w:rPr>
          <w:rFonts w:ascii="Arial" w:hAnsi="Arial" w:eastAsia="Times New Roman" w:cs="Arial"/>
        </w:rPr>
      </w:pPr>
      <w:r>
        <w:rPr>
          <w:rFonts w:eastAsia="Times New Roman" w:cs="Arial" w:ascii="Arial" w:hAnsi="Arial"/>
        </w:rPr>
        <w:t>Nazwa zestawu</w:t>
      </w:r>
    </w:p>
    <w:p>
      <w:pPr>
        <w:pStyle w:val="Normal"/>
        <w:rPr>
          <w:rFonts w:ascii="Arial" w:hAnsi="Arial" w:eastAsia="Times New Roman" w:cs="Arial"/>
          <w:sz w:val="15"/>
          <w:szCs w:val="15"/>
        </w:rPr>
      </w:pPr>
      <w:r>
        <w:rPr>
          <w:rFonts w:eastAsia="Times New Roman" w:cs="Arial" w:ascii="Arial" w:hAnsi="Arial"/>
          <w:sz w:val="15"/>
          <w:szCs w:val="15"/>
        </w:rPr>
        <w:t xml:space="preserve">Postępowanie pozabiegowe. </w:t>
      </w:r>
    </w:p>
    <w:p>
      <w:pPr>
        <w:pStyle w:val="Nagwek4"/>
        <w:rPr>
          <w:rFonts w:ascii="Arial" w:hAnsi="Arial" w:eastAsia="Times New Roman" w:cs="Arial"/>
        </w:rPr>
      </w:pPr>
      <w:r>
        <w:rPr>
          <w:rFonts w:eastAsia="Times New Roman" w:cs="Arial" w:ascii="Arial" w:hAnsi="Arial"/>
        </w:rPr>
        <w:t>Poziom PRK</w:t>
      </w:r>
    </w:p>
    <w:p>
      <w:pPr>
        <w:pStyle w:val="Normal"/>
        <w:rPr>
          <w:rFonts w:ascii="Arial" w:hAnsi="Arial" w:eastAsia="Times New Roman" w:cs="Arial"/>
          <w:sz w:val="15"/>
          <w:szCs w:val="15"/>
        </w:rPr>
      </w:pPr>
      <w:r>
        <w:rPr>
          <w:rFonts w:eastAsia="Times New Roman" w:cs="Arial" w:ascii="Arial" w:hAnsi="Arial"/>
          <w:sz w:val="15"/>
          <w:szCs w:val="15"/>
        </w:rPr>
        <w:t>5</w:t>
      </w:r>
    </w:p>
    <w:p>
      <w:pPr>
        <w:pStyle w:val="Nagwek4"/>
        <w:rPr>
          <w:rFonts w:ascii="Arial" w:hAnsi="Arial" w:eastAsia="Times New Roman" w:cs="Arial"/>
        </w:rPr>
      </w:pPr>
      <w:r>
        <w:rPr>
          <w:rFonts w:eastAsia="Times New Roman" w:cs="Arial" w:ascii="Arial" w:hAnsi="Arial"/>
        </w:rPr>
        <w:t>Orientacyjny nakład pracy [godz]</w:t>
      </w:r>
    </w:p>
    <w:p>
      <w:pPr>
        <w:pStyle w:val="Normal"/>
        <w:rPr>
          <w:rFonts w:ascii="Arial" w:hAnsi="Arial" w:eastAsia="Times New Roman" w:cs="Arial"/>
          <w:sz w:val="15"/>
          <w:szCs w:val="15"/>
        </w:rPr>
      </w:pPr>
      <w:r>
        <w:rPr>
          <w:rFonts w:eastAsia="Times New Roman" w:cs="Arial" w:ascii="Arial" w:hAnsi="Arial"/>
          <w:sz w:val="15"/>
          <w:szCs w:val="15"/>
        </w:rPr>
        <w:t>140</w:t>
      </w:r>
    </w:p>
    <w:p>
      <w:pPr>
        <w:pStyle w:val="Nagwek4"/>
        <w:rPr>
          <w:rFonts w:ascii="Arial" w:hAnsi="Arial" w:eastAsia="Times New Roman" w:cs="Arial"/>
        </w:rPr>
      </w:pPr>
      <w:r>
        <w:rPr>
          <w:rFonts w:eastAsia="Times New Roman" w:cs="Arial" w:ascii="Arial" w:hAnsi="Arial"/>
        </w:rPr>
        <w:t>Rodzaj zestawu</w:t>
      </w:r>
    </w:p>
    <w:p>
      <w:pPr>
        <w:pStyle w:val="Normal"/>
        <w:rPr>
          <w:rFonts w:ascii="Arial" w:hAnsi="Arial" w:eastAsia="Times New Roman" w:cs="Arial"/>
          <w:sz w:val="15"/>
          <w:szCs w:val="15"/>
        </w:rPr>
      </w:pPr>
      <w:r>
        <w:rPr>
          <w:rFonts w:eastAsia="Times New Roman" w:cs="Arial" w:ascii="Arial" w:hAnsi="Arial"/>
          <w:sz w:val="15"/>
          <w:szCs w:val="15"/>
        </w:rPr>
        <w:t>obowiązkowy</w:t>
      </w:r>
    </w:p>
    <w:p>
      <w:pPr>
        <w:pStyle w:val="Nagwek4"/>
        <w:rPr>
          <w:rFonts w:ascii="Arial" w:hAnsi="Arial" w:eastAsia="Times New Roman" w:cs="Arial"/>
        </w:rPr>
      </w:pPr>
      <w:r>
        <w:rPr>
          <w:rFonts w:eastAsia="Times New Roman" w:cs="Arial" w:ascii="Arial" w:hAnsi="Arial"/>
        </w:rPr>
        <w:t>Poszczególne efekty uczenia się oraz kryteria weryfikacji ich osiągnięcia</w:t>
      </w:r>
    </w:p>
    <w:p>
      <w:pPr>
        <w:pStyle w:val="Nagwek5"/>
        <w:rPr>
          <w:rFonts w:ascii="Arial" w:hAnsi="Arial" w:eastAsia="Times New Roman" w:cs="Arial"/>
        </w:rPr>
      </w:pPr>
      <w:r>
        <w:rPr>
          <w:rFonts w:eastAsia="Times New Roman" w:cs="Arial" w:ascii="Arial" w:hAnsi="Arial"/>
        </w:rPr>
        <w:t>Efekt uczenia</w:t>
      </w:r>
    </w:p>
    <w:p>
      <w:pPr>
        <w:pStyle w:val="Normal"/>
        <w:rPr>
          <w:rFonts w:ascii="Arial" w:hAnsi="Arial" w:eastAsia="Times New Roman" w:cs="Arial"/>
          <w:sz w:val="15"/>
          <w:szCs w:val="15"/>
        </w:rPr>
      </w:pPr>
      <w:r>
        <w:rPr>
          <w:rFonts w:eastAsia="Times New Roman" w:cs="Arial" w:ascii="Arial" w:hAnsi="Arial"/>
          <w:sz w:val="15"/>
          <w:szCs w:val="15"/>
        </w:rPr>
        <w:t>a) Wypełnia dokumentację pozabiegową</w:t>
      </w:r>
    </w:p>
    <w:p>
      <w:pPr>
        <w:pStyle w:val="Nagwek5"/>
        <w:rPr>
          <w:rFonts w:ascii="Arial" w:hAnsi="Arial" w:eastAsia="Times New Roman" w:cs="Arial"/>
        </w:rPr>
      </w:pPr>
      <w:r>
        <w:rPr>
          <w:rFonts w:eastAsia="Times New Roman" w:cs="Arial" w:ascii="Arial" w:hAnsi="Arial"/>
        </w:rPr>
        <w:t>Kryteria weryfikacji</w:t>
      </w:r>
    </w:p>
    <w:p>
      <w:pPr>
        <w:pStyle w:val="Normalny2"/>
        <w:numPr>
          <w:ilvl w:val="0"/>
          <w:numId w:val="17"/>
        </w:numPr>
        <w:spacing w:before="0" w:after="120"/>
        <w:ind w:left="405" w:hanging="360"/>
        <w:contextualSpacing/>
        <w:jc w:val="both"/>
        <w:rPr>
          <w:sz w:val="15"/>
          <w:szCs w:val="15"/>
          <w:highlight w:val="white"/>
        </w:rPr>
      </w:pPr>
      <w:r>
        <w:rPr>
          <w:sz w:val="15"/>
          <w:szCs w:val="15"/>
          <w:highlight w:val="white"/>
        </w:rPr>
        <w:t>sporządza raport po wykonaniu zabiegu zawierający: cel, stan, wykonane czynności, zalecenia dla klienta,</w:t>
      </w:r>
    </w:p>
    <w:p>
      <w:pPr>
        <w:pStyle w:val="Normalny2"/>
        <w:numPr>
          <w:ilvl w:val="0"/>
          <w:numId w:val="17"/>
        </w:numPr>
        <w:spacing w:before="0" w:after="120"/>
        <w:ind w:left="405" w:hanging="360"/>
        <w:contextualSpacing/>
        <w:jc w:val="both"/>
        <w:rPr>
          <w:sz w:val="15"/>
          <w:szCs w:val="15"/>
          <w:highlight w:val="white"/>
        </w:rPr>
      </w:pPr>
      <w:r>
        <w:rPr>
          <w:sz w:val="15"/>
          <w:szCs w:val="15"/>
          <w:highlight w:val="white"/>
        </w:rPr>
        <w:t>uzupełnia dokumentację pozabiegową,</w:t>
      </w:r>
    </w:p>
    <w:p>
      <w:pPr>
        <w:pStyle w:val="Normalny2"/>
        <w:numPr>
          <w:ilvl w:val="0"/>
          <w:numId w:val="17"/>
        </w:numPr>
        <w:spacing w:before="0" w:after="120"/>
        <w:ind w:left="405" w:hanging="360"/>
        <w:contextualSpacing/>
        <w:jc w:val="both"/>
        <w:rPr>
          <w:sz w:val="15"/>
          <w:szCs w:val="15"/>
          <w:highlight w:val="white"/>
        </w:rPr>
      </w:pPr>
      <w:r>
        <w:rPr>
          <w:sz w:val="15"/>
          <w:szCs w:val="15"/>
          <w:highlight w:val="white"/>
        </w:rPr>
        <w:t>wydaje opinie o stanie zdrowia stóp klienta,</w:t>
      </w:r>
    </w:p>
    <w:p>
      <w:pPr>
        <w:pStyle w:val="Normalny2"/>
        <w:numPr>
          <w:ilvl w:val="0"/>
          <w:numId w:val="17"/>
        </w:numPr>
        <w:spacing w:before="0" w:after="120"/>
        <w:ind w:left="405" w:hanging="360"/>
        <w:contextualSpacing/>
        <w:jc w:val="both"/>
        <w:rPr>
          <w:sz w:val="15"/>
          <w:szCs w:val="15"/>
          <w:highlight w:val="white"/>
        </w:rPr>
      </w:pPr>
      <w:r>
        <w:rPr>
          <w:sz w:val="15"/>
          <w:szCs w:val="15"/>
          <w:highlight w:val="white"/>
        </w:rPr>
        <w:t>prowadzi dokumentację zdjęciową po zabiegu.</w:t>
      </w:r>
    </w:p>
    <w:p>
      <w:pPr>
        <w:pStyle w:val="Nagwek5"/>
        <w:rPr>
          <w:rFonts w:ascii="Arial" w:hAnsi="Arial" w:eastAsia="Times New Roman" w:cs="Arial"/>
        </w:rPr>
      </w:pPr>
      <w:r>
        <w:rPr>
          <w:rFonts w:eastAsia="Times New Roman" w:cs="Arial" w:ascii="Arial" w:hAnsi="Arial"/>
        </w:rPr>
        <w:t>Efekt uczenia</w:t>
      </w:r>
    </w:p>
    <w:p>
      <w:pPr>
        <w:pStyle w:val="Normal"/>
        <w:rPr>
          <w:rFonts w:ascii="Arial" w:hAnsi="Arial" w:eastAsia="Times New Roman" w:cs="Arial"/>
          <w:sz w:val="15"/>
          <w:szCs w:val="15"/>
        </w:rPr>
      </w:pPr>
      <w:r>
        <w:rPr>
          <w:rFonts w:eastAsia="Times New Roman" w:cs="Arial" w:ascii="Arial" w:hAnsi="Arial"/>
          <w:sz w:val="15"/>
          <w:szCs w:val="15"/>
        </w:rPr>
        <w:t>b) Opracowuje zalecenia dla klienta</w:t>
      </w:r>
    </w:p>
    <w:p>
      <w:pPr>
        <w:pStyle w:val="Nagwek5"/>
        <w:rPr>
          <w:rFonts w:ascii="Arial" w:hAnsi="Arial" w:eastAsia="Times New Roman" w:cs="Arial"/>
        </w:rPr>
      </w:pPr>
      <w:r>
        <w:rPr>
          <w:rFonts w:eastAsia="Times New Roman" w:cs="Arial" w:ascii="Arial" w:hAnsi="Arial"/>
        </w:rPr>
        <w:t>Kryteria weryfikacji</w:t>
      </w:r>
    </w:p>
    <w:p>
      <w:pPr>
        <w:pStyle w:val="Normalny2"/>
        <w:numPr>
          <w:ilvl w:val="0"/>
          <w:numId w:val="17"/>
        </w:numPr>
        <w:spacing w:before="0" w:after="120"/>
        <w:ind w:left="405" w:hanging="360"/>
        <w:contextualSpacing/>
        <w:jc w:val="both"/>
        <w:rPr>
          <w:sz w:val="15"/>
          <w:szCs w:val="15"/>
          <w:highlight w:val="white"/>
        </w:rPr>
      </w:pPr>
      <w:r>
        <w:rPr>
          <w:sz w:val="15"/>
          <w:szCs w:val="15"/>
          <w:highlight w:val="white"/>
        </w:rPr>
        <w:t>dobiera preparaty pielęgnacyjne, profilaktyczne zgodnie z rozpoznaniem,</w:t>
      </w:r>
    </w:p>
    <w:p>
      <w:pPr>
        <w:pStyle w:val="Normalny2"/>
        <w:numPr>
          <w:ilvl w:val="0"/>
          <w:numId w:val="17"/>
        </w:numPr>
        <w:spacing w:before="0" w:after="120"/>
        <w:ind w:left="405" w:hanging="360"/>
        <w:contextualSpacing/>
        <w:jc w:val="both"/>
        <w:rPr>
          <w:sz w:val="15"/>
          <w:szCs w:val="15"/>
          <w:highlight w:val="white"/>
        </w:rPr>
      </w:pPr>
      <w:r>
        <w:rPr>
          <w:sz w:val="15"/>
          <w:szCs w:val="15"/>
          <w:highlight w:val="white"/>
        </w:rPr>
        <w:t>rekomenduje obuwie i tekstylia zgodnie z rozpoznaniem,</w:t>
      </w:r>
    </w:p>
    <w:p>
      <w:pPr>
        <w:pStyle w:val="Normalny2"/>
        <w:numPr>
          <w:ilvl w:val="0"/>
          <w:numId w:val="17"/>
        </w:numPr>
        <w:spacing w:before="0" w:after="120"/>
        <w:ind w:left="405" w:hanging="360"/>
        <w:contextualSpacing/>
        <w:jc w:val="both"/>
        <w:rPr>
          <w:sz w:val="15"/>
          <w:szCs w:val="15"/>
          <w:highlight w:val="white"/>
        </w:rPr>
      </w:pPr>
      <w:r>
        <w:rPr>
          <w:sz w:val="15"/>
          <w:szCs w:val="15"/>
          <w:highlight w:val="white"/>
        </w:rPr>
        <w:t>rekomenduje zaopatrzenie ortopedyczne (wkładki, ortozy, stabilizatory, elementy obciążające, korektory),</w:t>
      </w:r>
    </w:p>
    <w:p>
      <w:pPr>
        <w:pStyle w:val="Normalny2"/>
        <w:numPr>
          <w:ilvl w:val="0"/>
          <w:numId w:val="17"/>
        </w:numPr>
        <w:spacing w:before="0" w:after="120"/>
        <w:ind w:left="405" w:hanging="360"/>
        <w:contextualSpacing/>
        <w:jc w:val="both"/>
        <w:rPr>
          <w:sz w:val="15"/>
          <w:szCs w:val="15"/>
          <w:highlight w:val="white"/>
        </w:rPr>
      </w:pPr>
      <w:r>
        <w:rPr>
          <w:sz w:val="15"/>
          <w:szCs w:val="15"/>
          <w:highlight w:val="white"/>
        </w:rPr>
        <w:t>rekomenduje zalecenia do dalszej diagnostyki lub konsultacji z innym specjalistą.</w:t>
      </w:r>
    </w:p>
    <w:p>
      <w:pPr>
        <w:pStyle w:val="Nagwek5"/>
        <w:rPr>
          <w:rFonts w:ascii="Arial" w:hAnsi="Arial" w:eastAsia="Times New Roman" w:cs="Arial"/>
        </w:rPr>
      </w:pPr>
      <w:r>
        <w:rPr>
          <w:rFonts w:eastAsia="Times New Roman" w:cs="Arial" w:ascii="Arial" w:hAnsi="Arial"/>
        </w:rPr>
        <w:t>Efekt uczenia</w:t>
      </w:r>
    </w:p>
    <w:p>
      <w:pPr>
        <w:pStyle w:val="Normal"/>
        <w:rPr>
          <w:rFonts w:ascii="Arial" w:hAnsi="Arial" w:eastAsia="Times New Roman" w:cs="Arial"/>
          <w:sz w:val="15"/>
          <w:szCs w:val="15"/>
        </w:rPr>
      </w:pPr>
      <w:r>
        <w:rPr>
          <w:rFonts w:eastAsia="Times New Roman" w:cs="Arial" w:ascii="Arial" w:hAnsi="Arial"/>
          <w:sz w:val="15"/>
          <w:szCs w:val="15"/>
        </w:rPr>
        <w:t>c) Edukuje klienta</w:t>
      </w:r>
    </w:p>
    <w:p>
      <w:pPr>
        <w:pStyle w:val="Nagwek5"/>
        <w:rPr>
          <w:rFonts w:ascii="Arial" w:hAnsi="Arial" w:eastAsia="Times New Roman" w:cs="Arial"/>
        </w:rPr>
      </w:pPr>
      <w:r>
        <w:rPr>
          <w:rFonts w:eastAsia="Times New Roman" w:cs="Arial" w:ascii="Arial" w:hAnsi="Arial"/>
        </w:rPr>
        <w:t>Kryteria weryfikacji</w:t>
      </w:r>
    </w:p>
    <w:p>
      <w:pPr>
        <w:pStyle w:val="Normalny2"/>
        <w:numPr>
          <w:ilvl w:val="0"/>
          <w:numId w:val="17"/>
        </w:numPr>
        <w:spacing w:before="0" w:after="120"/>
        <w:ind w:left="405" w:hanging="360"/>
        <w:contextualSpacing/>
        <w:jc w:val="both"/>
        <w:rPr>
          <w:sz w:val="15"/>
          <w:szCs w:val="15"/>
          <w:highlight w:val="white"/>
        </w:rPr>
      </w:pPr>
      <w:r>
        <w:rPr>
          <w:sz w:val="15"/>
          <w:szCs w:val="15"/>
          <w:highlight w:val="white"/>
        </w:rPr>
        <w:t>omawia sposoby edukowania klientów z uwzględnieniem m.in. wieku, jednostki chorobowej,</w:t>
      </w:r>
    </w:p>
    <w:p>
      <w:pPr>
        <w:pStyle w:val="Normalny2"/>
        <w:numPr>
          <w:ilvl w:val="0"/>
          <w:numId w:val="17"/>
        </w:numPr>
        <w:spacing w:before="0" w:after="120"/>
        <w:ind w:left="405" w:hanging="360"/>
        <w:contextualSpacing/>
        <w:jc w:val="both"/>
        <w:rPr>
          <w:sz w:val="15"/>
          <w:szCs w:val="15"/>
          <w:highlight w:val="white"/>
        </w:rPr>
      </w:pPr>
      <w:r>
        <w:rPr>
          <w:sz w:val="15"/>
          <w:szCs w:val="15"/>
          <w:highlight w:val="white"/>
        </w:rPr>
        <w:t>przeprowadza edukację klienta i członków rodziny klienta,</w:t>
      </w:r>
    </w:p>
    <w:p>
      <w:pPr>
        <w:pStyle w:val="Normalny2"/>
        <w:numPr>
          <w:ilvl w:val="0"/>
          <w:numId w:val="17"/>
        </w:numPr>
        <w:spacing w:before="0" w:after="120"/>
        <w:ind w:left="405" w:hanging="360"/>
        <w:contextualSpacing/>
        <w:jc w:val="both"/>
        <w:rPr>
          <w:sz w:val="15"/>
          <w:szCs w:val="15"/>
          <w:highlight w:val="white"/>
        </w:rPr>
      </w:pPr>
      <w:r>
        <w:rPr>
          <w:sz w:val="15"/>
          <w:szCs w:val="15"/>
          <w:highlight w:val="white"/>
        </w:rPr>
        <w:t>wymienia źródła wsparcia dla klienta i jego rodziny (np. poradnie specjalistyczne, grupy wsparcia),</w:t>
      </w:r>
    </w:p>
    <w:p>
      <w:pPr>
        <w:pStyle w:val="Normalny2"/>
        <w:numPr>
          <w:ilvl w:val="0"/>
          <w:numId w:val="17"/>
        </w:numPr>
        <w:spacing w:before="0" w:after="120"/>
        <w:ind w:left="405" w:hanging="360"/>
        <w:contextualSpacing/>
        <w:jc w:val="both"/>
        <w:rPr>
          <w:sz w:val="15"/>
          <w:szCs w:val="15"/>
          <w:highlight w:val="white"/>
        </w:rPr>
      </w:pPr>
      <w:r>
        <w:rPr>
          <w:sz w:val="15"/>
          <w:szCs w:val="15"/>
          <w:highlight w:val="white"/>
        </w:rPr>
        <w:t xml:space="preserve">instruuje klienta w zakresie prawidłowego wykonywania ćwiczeń profilaktycznych w zakresie kończyny dolnej lub zaleca wizytę </w:t>
        <w:br/>
        <w:t>u specjalisty</w:t>
      </w:r>
      <w:r>
        <w:rPr>
          <w:rFonts w:eastAsia="Times New Roman"/>
          <w:sz w:val="15"/>
          <w:szCs w:val="15"/>
        </w:rPr>
        <w:t xml:space="preserve">. </w:t>
      </w:r>
    </w:p>
    <w:p>
      <w:pPr>
        <w:pStyle w:val="Nagwek4"/>
        <w:rPr>
          <w:rFonts w:ascii="Arial" w:hAnsi="Arial" w:eastAsia="Times New Roman" w:cs="Arial"/>
        </w:rPr>
      </w:pPr>
      <w:r>
        <w:rPr>
          <w:rFonts w:eastAsia="Times New Roman" w:cs="Arial" w:ascii="Arial" w:hAnsi="Arial"/>
        </w:rPr>
        <w:t>Informacje o instytucjach uprawnionych do nadawania kwalifikacji</w:t>
      </w:r>
    </w:p>
    <w:p>
      <w:pPr>
        <w:pStyle w:val="Normal"/>
        <w:rPr>
          <w:rFonts w:ascii="Arial" w:hAnsi="Arial" w:eastAsia="Times New Roman" w:cs="Arial"/>
          <w:sz w:val="15"/>
          <w:szCs w:val="15"/>
        </w:rPr>
      </w:pPr>
      <w:r>
        <w:rPr>
          <w:rFonts w:eastAsia="Times New Roman" w:cs="Arial" w:ascii="Arial" w:hAnsi="Arial"/>
          <w:sz w:val="15"/>
          <w:szCs w:val="15"/>
        </w:rPr>
        <w:t xml:space="preserve">--- Brak treści --- </w:t>
      </w:r>
    </w:p>
    <w:p>
      <w:pPr>
        <w:pStyle w:val="Nagwek4"/>
        <w:rPr>
          <w:rFonts w:ascii="Arial" w:hAnsi="Arial" w:eastAsia="Times New Roman" w:cs="Arial"/>
        </w:rPr>
      </w:pPr>
      <w:r>
        <w:rPr>
          <w:rFonts w:eastAsia="Times New Roman" w:cs="Arial" w:ascii="Arial" w:hAnsi="Arial"/>
        </w:rPr>
        <w:t>Wnioskodawca</w:t>
      </w:r>
    </w:p>
    <w:p>
      <w:pPr>
        <w:pStyle w:val="NormalWeb"/>
        <w:rPr>
          <w:rFonts w:ascii="Arial" w:hAnsi="Arial" w:cs="Arial"/>
          <w:sz w:val="15"/>
          <w:szCs w:val="15"/>
        </w:rPr>
      </w:pPr>
      <w:r>
        <w:rPr>
          <w:rFonts w:cs="Arial" w:ascii="Arial" w:hAnsi="Arial"/>
          <w:sz w:val="15"/>
          <w:szCs w:val="15"/>
        </w:rPr>
        <w:t xml:space="preserve">Polskie Towarzystwo Podologiczne </w:t>
      </w:r>
    </w:p>
    <w:p>
      <w:pPr>
        <w:pStyle w:val="Nagwek4"/>
        <w:rPr>
          <w:rFonts w:ascii="Arial" w:hAnsi="Arial" w:eastAsia="Times New Roman" w:cs="Arial"/>
        </w:rPr>
      </w:pPr>
      <w:r>
        <w:rPr>
          <w:rFonts w:eastAsia="Times New Roman" w:cs="Arial" w:ascii="Arial" w:hAnsi="Arial"/>
        </w:rPr>
        <w:t>Minister właściwy</w:t>
      </w:r>
    </w:p>
    <w:p>
      <w:pPr>
        <w:pStyle w:val="NormalWeb"/>
        <w:rPr>
          <w:rFonts w:ascii="Arial" w:hAnsi="Arial" w:cs="Arial"/>
          <w:sz w:val="15"/>
          <w:szCs w:val="15"/>
        </w:rPr>
      </w:pPr>
      <w:r>
        <w:rPr>
          <w:rFonts w:cs="Arial" w:ascii="Arial" w:hAnsi="Arial"/>
          <w:sz w:val="15"/>
          <w:szCs w:val="15"/>
        </w:rPr>
        <w:t xml:space="preserve">Ministerstwo Zdrowia </w:t>
      </w:r>
    </w:p>
    <w:p>
      <w:pPr>
        <w:pStyle w:val="Nagwek4"/>
        <w:rPr>
          <w:rFonts w:ascii="Arial" w:hAnsi="Arial" w:eastAsia="Times New Roman" w:cs="Arial"/>
        </w:rPr>
      </w:pPr>
      <w:r>
        <w:rPr>
          <w:rFonts w:eastAsia="Times New Roman" w:cs="Arial" w:ascii="Arial" w:hAnsi="Arial"/>
        </w:rPr>
        <w:t>Okres ważności dokumentu potwierdzającego nadanie kwalifikacji i warunki przedłużenia jego ważności</w:t>
      </w:r>
    </w:p>
    <w:p>
      <w:pPr>
        <w:pStyle w:val="Normal"/>
        <w:spacing w:before="120" w:after="0"/>
        <w:jc w:val="both"/>
        <w:rPr>
          <w:rFonts w:ascii="Arial" w:hAnsi="Arial" w:cs="Arial"/>
          <w:sz w:val="15"/>
          <w:szCs w:val="15"/>
          <w:highlight w:val="white"/>
        </w:rPr>
      </w:pPr>
      <w:r>
        <w:rPr>
          <w:rFonts w:cs="Arial" w:ascii="Arial" w:hAnsi="Arial"/>
          <w:sz w:val="15"/>
          <w:szCs w:val="15"/>
          <w:highlight w:val="white"/>
        </w:rPr>
        <w:t xml:space="preserve">Certyfikat ważny przez okres 5 lat. </w:t>
      </w:r>
    </w:p>
    <w:p>
      <w:pPr>
        <w:pStyle w:val="Normal"/>
        <w:spacing w:before="120" w:after="0"/>
        <w:jc w:val="both"/>
        <w:rPr>
          <w:rFonts w:ascii="Arial" w:hAnsi="Arial" w:cs="Arial"/>
          <w:sz w:val="15"/>
          <w:szCs w:val="15"/>
          <w:highlight w:val="white"/>
        </w:rPr>
      </w:pPr>
      <w:r>
        <w:rPr>
          <w:rFonts w:cs="Arial" w:ascii="Arial" w:hAnsi="Arial"/>
          <w:sz w:val="15"/>
          <w:szCs w:val="15"/>
          <w:highlight w:val="white"/>
        </w:rPr>
        <w:t>Warunkiem jego przedłużenia jest przedłożenie dokumentów poświadczających udział w min. 50 godzinach szkoleń, seminariów, konferencji, warsztatów, sympozjów o tematyce związanej z zakresem kwalifikacji w okresie ostatnich 5 lat.</w:t>
      </w:r>
    </w:p>
    <w:p>
      <w:pPr>
        <w:pStyle w:val="Nagwek4"/>
        <w:rPr>
          <w:rFonts w:ascii="Arial" w:hAnsi="Arial" w:eastAsia="Times New Roman" w:cs="Arial"/>
        </w:rPr>
      </w:pPr>
      <w:r>
        <w:rPr>
          <w:rFonts w:eastAsia="Times New Roman" w:cs="Arial" w:ascii="Arial" w:hAnsi="Arial"/>
        </w:rPr>
        <w:t>Nazwa dokumentu potwierdzającego nadanie kwalifikacji</w:t>
      </w:r>
    </w:p>
    <w:p>
      <w:pPr>
        <w:pStyle w:val="NormalWeb"/>
        <w:rPr>
          <w:rFonts w:ascii="Arial" w:hAnsi="Arial" w:cs="Arial"/>
          <w:sz w:val="15"/>
          <w:szCs w:val="15"/>
        </w:rPr>
      </w:pPr>
      <w:r>
        <w:rPr>
          <w:rFonts w:cs="Arial" w:ascii="Arial" w:hAnsi="Arial"/>
          <w:sz w:val="15"/>
          <w:szCs w:val="15"/>
        </w:rPr>
        <w:t xml:space="preserve">Certyfikat </w:t>
      </w:r>
    </w:p>
    <w:p>
      <w:pPr>
        <w:pStyle w:val="Nagwek4"/>
        <w:rPr>
          <w:rFonts w:ascii="Arial" w:hAnsi="Arial" w:eastAsia="Times New Roman" w:cs="Arial"/>
        </w:rPr>
      </w:pPr>
      <w:r>
        <w:rPr>
          <w:rFonts w:eastAsia="Times New Roman" w:cs="Arial" w:ascii="Arial" w:hAnsi="Arial"/>
        </w:rPr>
        <w:t>Uprawnienia związane z posiadaniem kwalifikacji</w:t>
      </w:r>
    </w:p>
    <w:p>
      <w:pPr>
        <w:pStyle w:val="NormalWeb"/>
        <w:rPr>
          <w:rFonts w:ascii="Arial" w:hAnsi="Arial" w:cs="Arial"/>
          <w:sz w:val="15"/>
          <w:szCs w:val="15"/>
        </w:rPr>
      </w:pPr>
      <w:r>
        <w:rPr>
          <w:rFonts w:cs="Arial" w:ascii="Arial" w:hAnsi="Arial"/>
          <w:sz w:val="15"/>
          <w:szCs w:val="15"/>
        </w:rPr>
        <w:t xml:space="preserve">brak </w:t>
      </w:r>
    </w:p>
    <w:p>
      <w:pPr>
        <w:pStyle w:val="Nagwek4"/>
        <w:rPr>
          <w:rFonts w:ascii="Arial" w:hAnsi="Arial" w:eastAsia="Times New Roman" w:cs="Arial"/>
        </w:rPr>
      </w:pPr>
      <w:r>
        <w:rPr>
          <w:rFonts w:eastAsia="Times New Roman" w:cs="Arial" w:ascii="Arial" w:hAnsi="Arial"/>
        </w:rPr>
        <w:t>Kod dziedziny kształcenia</w:t>
      </w:r>
    </w:p>
    <w:p>
      <w:pPr>
        <w:pStyle w:val="NormalWeb"/>
        <w:rPr>
          <w:rFonts w:ascii="Arial" w:hAnsi="Arial" w:cs="Arial"/>
          <w:sz w:val="15"/>
          <w:szCs w:val="15"/>
        </w:rPr>
      </w:pPr>
      <w:r>
        <w:rPr>
          <w:rFonts w:cs="Arial" w:ascii="Arial" w:hAnsi="Arial"/>
          <w:sz w:val="15"/>
          <w:szCs w:val="15"/>
        </w:rPr>
        <w:t xml:space="preserve">72 - Ochrona zdrowia </w:t>
      </w:r>
    </w:p>
    <w:p>
      <w:pPr>
        <w:pStyle w:val="Nagwek4"/>
        <w:rPr>
          <w:rFonts w:ascii="Arial" w:hAnsi="Arial" w:eastAsia="Times New Roman" w:cs="Arial"/>
        </w:rPr>
      </w:pPr>
      <w:r>
        <w:rPr>
          <w:rFonts w:eastAsia="Times New Roman" w:cs="Arial" w:ascii="Arial" w:hAnsi="Arial"/>
        </w:rPr>
        <w:t>Kod PKD</w:t>
      </w:r>
    </w:p>
    <w:p>
      <w:pPr>
        <w:pStyle w:val="NormalWeb"/>
        <w:rPr>
          <w:rFonts w:ascii="Arial" w:hAnsi="Arial" w:cs="Arial"/>
          <w:sz w:val="15"/>
          <w:szCs w:val="15"/>
        </w:rPr>
      </w:pPr>
      <w:r>
        <w:rPr>
          <w:rFonts w:cs="Arial" w:ascii="Arial" w:hAnsi="Arial"/>
          <w:sz w:val="15"/>
          <w:szCs w:val="15"/>
        </w:rPr>
        <w:t xml:space="preserve">86.90.E - Pozostała działalność w zakresie opieki zdrowotnej, gdzie indziej niesklasyfikowana </w:t>
      </w:r>
    </w:p>
    <w:p>
      <w:pPr>
        <w:pStyle w:val="Nagwek4"/>
        <w:rPr>
          <w:rFonts w:ascii="Arial" w:hAnsi="Arial" w:eastAsia="Times New Roman" w:cs="Arial"/>
        </w:rPr>
      </w:pPr>
      <w:r>
        <w:rPr>
          <w:rFonts w:eastAsia="Times New Roman" w:cs="Arial" w:ascii="Arial" w:hAnsi="Arial"/>
        </w:rPr>
        <w:t>Dane o podmiocie, który złożył wniosek</w:t>
      </w:r>
    </w:p>
    <w:p>
      <w:pPr>
        <w:pStyle w:val="NormalWeb"/>
        <w:spacing w:beforeAutospacing="0" w:before="0" w:afterAutospacing="0" w:after="0"/>
        <w:jc w:val="both"/>
        <w:rPr>
          <w:rFonts w:ascii="Arial" w:hAnsi="Arial" w:cs="Arial"/>
          <w:sz w:val="15"/>
          <w:szCs w:val="15"/>
        </w:rPr>
      </w:pPr>
      <w:r>
        <w:rPr>
          <w:rFonts w:cs="Arial" w:ascii="Arial" w:hAnsi="Arial"/>
          <w:sz w:val="15"/>
          <w:szCs w:val="15"/>
        </w:rPr>
        <w:t>Wykonywanie praktyki podologicznej Polskie Towarzystwo Podologiczne</w:t>
      </w:r>
    </w:p>
    <w:p>
      <w:pPr>
        <w:pStyle w:val="NormalWeb"/>
        <w:spacing w:beforeAutospacing="0" w:before="0" w:afterAutospacing="0" w:after="0"/>
        <w:jc w:val="both"/>
        <w:rPr>
          <w:rFonts w:ascii="Arial" w:hAnsi="Arial" w:cs="Arial"/>
          <w:sz w:val="15"/>
          <w:szCs w:val="15"/>
        </w:rPr>
      </w:pPr>
      <w:r>
        <w:rPr>
          <w:rFonts w:cs="Arial" w:ascii="Arial" w:hAnsi="Arial"/>
          <w:sz w:val="15"/>
          <w:szCs w:val="15"/>
        </w:rPr>
        <w:t>Siedziba i adres: Michałowicza 18, 94-306 Łódź</w:t>
      </w:r>
    </w:p>
    <w:p>
      <w:pPr>
        <w:pStyle w:val="NormalWeb"/>
        <w:spacing w:beforeAutospacing="0" w:before="0" w:afterAutospacing="0" w:after="0"/>
        <w:jc w:val="both"/>
        <w:rPr>
          <w:rFonts w:ascii="Arial" w:hAnsi="Arial" w:cs="Arial"/>
          <w:sz w:val="15"/>
          <w:szCs w:val="15"/>
        </w:rPr>
      </w:pPr>
      <w:r>
        <w:rPr>
          <w:rFonts w:cs="Arial" w:ascii="Arial" w:hAnsi="Arial"/>
          <w:sz w:val="15"/>
          <w:szCs w:val="15"/>
        </w:rPr>
        <w:t>NIP: 6412517974</w:t>
      </w:r>
    </w:p>
    <w:p>
      <w:pPr>
        <w:pStyle w:val="NormalWeb"/>
        <w:spacing w:beforeAutospacing="0" w:before="0" w:afterAutospacing="0" w:after="0"/>
        <w:jc w:val="both"/>
        <w:rPr>
          <w:rFonts w:ascii="Arial" w:hAnsi="Arial" w:cs="Arial"/>
          <w:sz w:val="15"/>
          <w:szCs w:val="15"/>
        </w:rPr>
      </w:pPr>
      <w:r>
        <w:rPr>
          <w:rFonts w:cs="Arial" w:ascii="Arial" w:hAnsi="Arial"/>
          <w:sz w:val="15"/>
          <w:szCs w:val="15"/>
        </w:rPr>
        <w:t>Numer KRS: 0000382900</w:t>
      </w:r>
    </w:p>
    <w:p>
      <w:pPr>
        <w:pStyle w:val="NormalWeb"/>
        <w:spacing w:beforeAutospacing="0" w:before="0" w:afterAutospacing="0" w:after="0"/>
        <w:jc w:val="both"/>
        <w:rPr>
          <w:rFonts w:ascii="Arial" w:hAnsi="Arial" w:cs="Arial"/>
          <w:sz w:val="15"/>
          <w:szCs w:val="15"/>
        </w:rPr>
      </w:pPr>
      <w:r>
        <w:rPr>
          <w:rFonts w:cs="Arial" w:ascii="Arial" w:hAnsi="Arial"/>
          <w:sz w:val="15"/>
          <w:szCs w:val="15"/>
        </w:rPr>
        <w:t>Reprezentacja: prezes Magdalena Hafezi-Chojecka; wiceprezes ds. finansowych Ilona Vollmer; wiceprezes ds. kontaktów z zagranicą Piast Górny</w:t>
      </w:r>
    </w:p>
    <w:p>
      <w:pPr>
        <w:pStyle w:val="NormalWeb"/>
        <w:spacing w:beforeAutospacing="0" w:before="0" w:afterAutospacing="0" w:after="0"/>
        <w:jc w:val="both"/>
        <w:rPr/>
      </w:pPr>
      <w:r>
        <w:rPr>
          <w:rFonts w:cs="Arial" w:ascii="Arial" w:hAnsi="Arial"/>
          <w:sz w:val="15"/>
          <w:szCs w:val="15"/>
        </w:rPr>
        <w:t xml:space="preserve">Adres elektroniczny osoby wnoszącej wniosek: </w:t>
      </w:r>
      <w:hyperlink r:id="rId2">
        <w:r>
          <w:rPr>
            <w:rStyle w:val="Czeinternetowe"/>
            <w:rFonts w:cs="Arial" w:ascii="Arial" w:hAnsi="Arial"/>
            <w:sz w:val="15"/>
            <w:szCs w:val="15"/>
          </w:rPr>
          <w:t>ilonavollmer@ptp-podologia.pl</w:t>
        </w:r>
      </w:hyperlink>
      <w:r>
        <w:rPr>
          <w:rFonts w:cs="Arial" w:ascii="Arial" w:hAnsi="Arial"/>
          <w:sz w:val="15"/>
          <w:szCs w:val="15"/>
        </w:rPr>
        <w:t xml:space="preserve"> </w:t>
      </w:r>
    </w:p>
    <w:sectPr>
      <w:type w:val="nextPage"/>
      <w:pgSz w:w="11906" w:h="16838"/>
      <w:pgMar w:left="1417" w:right="1417" w:header="0" w:top="993" w:footer="0" w:bottom="1417"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Calibri Light">
    <w:charset w:val="ee"/>
    <w:family w:val="roman"/>
    <w:pitch w:val="variable"/>
  </w:font>
  <w:font w:name="Arial">
    <w:charset w:val="ee"/>
    <w:family w:val="roman"/>
    <w:pitch w:val="variable"/>
  </w:font>
  <w:font w:name="Liberation Sans">
    <w:altName w:val="Arial"/>
    <w:charset w:val="ee"/>
    <w:family w:val="swiss"/>
    <w:pitch w:val="variable"/>
  </w:font>
  <w:font w:name="Lato">
    <w:charset w:val="ee"/>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bullet"/>
      <w:lvlText w:val=""/>
      <w:lvlJc w:val="left"/>
      <w:pPr>
        <w:ind w:left="799" w:hanging="360"/>
      </w:pPr>
      <w:rPr>
        <w:rFonts w:ascii="Symbol" w:hAnsi="Symbol" w:cs="Symbol" w:hint="default"/>
      </w:rPr>
    </w:lvl>
    <w:lvl w:ilvl="1">
      <w:start w:val="1"/>
      <w:numFmt w:val="bullet"/>
      <w:lvlText w:val="o"/>
      <w:lvlJc w:val="left"/>
      <w:pPr>
        <w:ind w:left="1519" w:hanging="360"/>
      </w:pPr>
      <w:rPr>
        <w:rFonts w:ascii="Courier New" w:hAnsi="Courier New" w:cs="Courier New" w:hint="default"/>
        <w:rFonts w:cs="Courier New"/>
      </w:rPr>
    </w:lvl>
    <w:lvl w:ilvl="2">
      <w:start w:val="1"/>
      <w:numFmt w:val="bullet"/>
      <w:lvlText w:val=""/>
      <w:lvlJc w:val="left"/>
      <w:pPr>
        <w:ind w:left="2239" w:hanging="360"/>
      </w:pPr>
      <w:rPr>
        <w:rFonts w:ascii="Wingdings" w:hAnsi="Wingdings" w:cs="Wingdings" w:hint="default"/>
      </w:rPr>
    </w:lvl>
    <w:lvl w:ilvl="3">
      <w:start w:val="1"/>
      <w:numFmt w:val="bullet"/>
      <w:lvlText w:val=""/>
      <w:lvlJc w:val="left"/>
      <w:pPr>
        <w:ind w:left="2959" w:hanging="360"/>
      </w:pPr>
      <w:rPr>
        <w:rFonts w:ascii="Symbol" w:hAnsi="Symbol" w:cs="Symbol" w:hint="default"/>
      </w:rPr>
    </w:lvl>
    <w:lvl w:ilvl="4">
      <w:start w:val="1"/>
      <w:numFmt w:val="bullet"/>
      <w:lvlText w:val="o"/>
      <w:lvlJc w:val="left"/>
      <w:pPr>
        <w:ind w:left="3679" w:hanging="360"/>
      </w:pPr>
      <w:rPr>
        <w:rFonts w:ascii="Courier New" w:hAnsi="Courier New" w:cs="Courier New" w:hint="default"/>
        <w:rFonts w:cs="Courier New"/>
      </w:rPr>
    </w:lvl>
    <w:lvl w:ilvl="5">
      <w:start w:val="1"/>
      <w:numFmt w:val="bullet"/>
      <w:lvlText w:val=""/>
      <w:lvlJc w:val="left"/>
      <w:pPr>
        <w:ind w:left="4399" w:hanging="360"/>
      </w:pPr>
      <w:rPr>
        <w:rFonts w:ascii="Wingdings" w:hAnsi="Wingdings" w:cs="Wingdings" w:hint="default"/>
      </w:rPr>
    </w:lvl>
    <w:lvl w:ilvl="6">
      <w:start w:val="1"/>
      <w:numFmt w:val="bullet"/>
      <w:lvlText w:val=""/>
      <w:lvlJc w:val="left"/>
      <w:pPr>
        <w:ind w:left="5119" w:hanging="360"/>
      </w:pPr>
      <w:rPr>
        <w:rFonts w:ascii="Symbol" w:hAnsi="Symbol" w:cs="Symbol" w:hint="default"/>
      </w:rPr>
    </w:lvl>
    <w:lvl w:ilvl="7">
      <w:start w:val="1"/>
      <w:numFmt w:val="bullet"/>
      <w:lvlText w:val="o"/>
      <w:lvlJc w:val="left"/>
      <w:pPr>
        <w:ind w:left="5839" w:hanging="360"/>
      </w:pPr>
      <w:rPr>
        <w:rFonts w:ascii="Courier New" w:hAnsi="Courier New" w:cs="Courier New" w:hint="default"/>
        <w:rFonts w:cs="Courier New"/>
      </w:rPr>
    </w:lvl>
    <w:lvl w:ilvl="8">
      <w:start w:val="1"/>
      <w:numFmt w:val="bullet"/>
      <w:lvlText w:val=""/>
      <w:lvlJc w:val="left"/>
      <w:pPr>
        <w:ind w:left="6559" w:hanging="360"/>
      </w:pPr>
      <w:rPr>
        <w:rFonts w:ascii="Wingdings" w:hAnsi="Wingdings" w:cs="Wingdings" w:hint="default"/>
      </w:rPr>
    </w:lvl>
  </w:abstractNum>
  <w:abstractNum w:abstractNumId="3">
    <w:lvl w:ilvl="0">
      <w:start w:val="1"/>
      <w:numFmt w:val="bullet"/>
      <w:lvlText w:val=""/>
      <w:lvlJc w:val="left"/>
      <w:pPr>
        <w:ind w:left="720" w:hanging="360"/>
      </w:pPr>
      <w:rPr>
        <w:rFonts w:ascii="Symbol" w:hAnsi="Symbol" w:cs="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lvl w:ilvl="0">
      <w:start w:val="1"/>
      <w:numFmt w:val="decimal"/>
      <w:lvlText w:val="%1."/>
      <w:lvlJc w:val="left"/>
      <w:pPr>
        <w:ind w:left="720" w:hanging="360"/>
      </w:pPr>
    </w:lvl>
    <w:lvl w:ilvl="1">
      <w:start w:val="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5">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7">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9">
    <w:lvl w:ilvl="0">
      <w:start w:val="1"/>
      <w:numFmt w:val="bullet"/>
      <w:lvlText w:val=""/>
      <w:lvlJc w:val="left"/>
      <w:pPr>
        <w:ind w:left="720" w:hanging="360"/>
      </w:pPr>
      <w:rPr>
        <w:rFonts w:ascii="Symbol" w:hAnsi="Symbol" w:cs="Symbol" w:hint="default"/>
      </w:rPr>
    </w:lvl>
    <w:lvl w:ilvl="1">
      <w:start w:val="1"/>
      <w:numFmt w:val="bullet"/>
      <w:lvlText w:val=""/>
      <w:lvlJc w:val="left"/>
      <w:pPr>
        <w:ind w:left="1440" w:hanging="360"/>
      </w:pPr>
      <w:rPr>
        <w:rFonts w:ascii="Symbol" w:hAnsi="Symbol" w:cs="Symbol"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10">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1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13">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1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15">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1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17">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1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pl-PL" w:eastAsia="pl-PL"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qFormat="1"/>
    <w:lsdException w:name="heading 4" w:uiPriority="9" w:qFormat="1"/>
    <w:lsdException w:name="heading 5" w:uiPriority="9"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jc w:val="left"/>
    </w:pPr>
    <w:rPr>
      <w:rFonts w:eastAsia="" w:eastAsiaTheme="minorEastAsia" w:ascii="Times New Roman" w:hAnsi="Times New Roman" w:cs="Times New Roman"/>
      <w:color w:val="auto"/>
      <w:sz w:val="24"/>
      <w:szCs w:val="24"/>
      <w:lang w:val="pl-PL" w:eastAsia="pl-PL" w:bidi="ar-SA"/>
    </w:rPr>
  </w:style>
  <w:style w:type="paragraph" w:styleId="Nagwek1">
    <w:name w:val="Nagłówek 1"/>
    <w:basedOn w:val="Nagwek"/>
    <w:pPr/>
    <w:rPr/>
  </w:style>
  <w:style w:type="paragraph" w:styleId="Nagwek2">
    <w:name w:val="Nagłówek 2"/>
    <w:basedOn w:val="Nagwek"/>
    <w:pPr/>
    <w:rPr/>
  </w:style>
  <w:style w:type="paragraph" w:styleId="Nagwek3">
    <w:name w:val="Nagłówek 3"/>
    <w:basedOn w:val="Normal"/>
    <w:link w:val="Nagwek3Znak"/>
    <w:uiPriority w:val="9"/>
    <w:qFormat/>
    <w:pPr>
      <w:spacing w:beforeAutospacing="1" w:afterAutospacing="1"/>
      <w:outlineLvl w:val="2"/>
    </w:pPr>
    <w:rPr>
      <w:b/>
      <w:bCs/>
      <w:sz w:val="27"/>
      <w:szCs w:val="27"/>
    </w:rPr>
  </w:style>
  <w:style w:type="paragraph" w:styleId="Nagwek4">
    <w:name w:val="Nagłówek 4"/>
    <w:basedOn w:val="Normal"/>
    <w:link w:val="Nagwek4Znak"/>
    <w:uiPriority w:val="9"/>
    <w:qFormat/>
    <w:pPr>
      <w:spacing w:beforeAutospacing="1" w:afterAutospacing="1"/>
      <w:outlineLvl w:val="3"/>
    </w:pPr>
    <w:rPr>
      <w:b/>
      <w:bCs/>
    </w:rPr>
  </w:style>
  <w:style w:type="paragraph" w:styleId="Nagwek5">
    <w:name w:val="Nagłówek 5"/>
    <w:basedOn w:val="Normal"/>
    <w:link w:val="Nagwek5Znak"/>
    <w:uiPriority w:val="9"/>
    <w:qFormat/>
    <w:pPr>
      <w:spacing w:beforeAutospacing="1" w:afterAutospacing="1"/>
      <w:outlineLvl w:val="4"/>
    </w:pPr>
    <w:rPr>
      <w:b/>
      <w:bCs/>
      <w:sz w:val="20"/>
      <w:szCs w:val="20"/>
    </w:rPr>
  </w:style>
  <w:style w:type="character" w:styleId="DefaultParagraphFont" w:default="1">
    <w:name w:val="Default Paragraph Font"/>
    <w:uiPriority w:val="1"/>
    <w:semiHidden/>
    <w:unhideWhenUsed/>
    <w:qFormat/>
    <w:rPr/>
  </w:style>
  <w:style w:type="character" w:styleId="Nagwek3Znak" w:customStyle="1">
    <w:name w:val="Nagłówek 3 Znak"/>
    <w:basedOn w:val="DefaultParagraphFont"/>
    <w:link w:val="Nagwek3"/>
    <w:uiPriority w:val="9"/>
    <w:semiHidden/>
    <w:qFormat/>
    <w:locked/>
    <w:rPr>
      <w:rFonts w:ascii="Calibri Light" w:hAnsi="Calibri Light" w:eastAsia="" w:cs="" w:asciiTheme="majorHAnsi" w:cstheme="majorBidi" w:eastAsiaTheme="majorEastAsia" w:hAnsiTheme="majorHAnsi"/>
      <w:color w:val="1F4D78" w:themeColor="accent1" w:themeShade="7f"/>
      <w:sz w:val="24"/>
      <w:szCs w:val="24"/>
    </w:rPr>
  </w:style>
  <w:style w:type="character" w:styleId="Nagwek4Znak" w:customStyle="1">
    <w:name w:val="Nagłówek 4 Znak"/>
    <w:basedOn w:val="DefaultParagraphFont"/>
    <w:link w:val="Nagwek4"/>
    <w:uiPriority w:val="9"/>
    <w:semiHidden/>
    <w:qFormat/>
    <w:locked/>
    <w:rPr>
      <w:rFonts w:ascii="Calibri Light" w:hAnsi="Calibri Light" w:eastAsia="" w:cs="" w:asciiTheme="majorHAnsi" w:cstheme="majorBidi" w:eastAsiaTheme="majorEastAsia" w:hAnsiTheme="majorHAnsi"/>
      <w:i/>
      <w:iCs/>
      <w:color w:val="2E74B5" w:themeColor="accent1" w:themeShade="bf"/>
      <w:sz w:val="24"/>
      <w:szCs w:val="24"/>
    </w:rPr>
  </w:style>
  <w:style w:type="character" w:styleId="Nagwek5Znak" w:customStyle="1">
    <w:name w:val="Nagłówek 5 Znak"/>
    <w:basedOn w:val="DefaultParagraphFont"/>
    <w:link w:val="Nagwek5"/>
    <w:uiPriority w:val="9"/>
    <w:semiHidden/>
    <w:qFormat/>
    <w:locked/>
    <w:rPr>
      <w:rFonts w:ascii="Calibri Light" w:hAnsi="Calibri Light" w:eastAsia="" w:cs="" w:asciiTheme="majorHAnsi" w:cstheme="majorBidi" w:eastAsiaTheme="majorEastAsia" w:hAnsiTheme="majorHAnsi"/>
      <w:color w:val="2E74B5" w:themeColor="accent1" w:themeShade="bf"/>
      <w:sz w:val="24"/>
      <w:szCs w:val="24"/>
    </w:rPr>
  </w:style>
  <w:style w:type="character" w:styleId="StopkaZnak" w:customStyle="1">
    <w:name w:val="Stopka Znak"/>
    <w:basedOn w:val="DefaultParagraphFont"/>
    <w:link w:val="Stopka"/>
    <w:uiPriority w:val="99"/>
    <w:qFormat/>
    <w:rsid w:val="0041076b"/>
    <w:rPr>
      <w:rFonts w:ascii="Arial" w:hAnsi="Arial" w:eastAsia="Arial"/>
      <w:sz w:val="22"/>
      <w:szCs w:val="22"/>
      <w:lang w:eastAsia="en-US"/>
    </w:rPr>
  </w:style>
  <w:style w:type="character" w:styleId="TekstprzypisudolnegoZnak" w:customStyle="1">
    <w:name w:val="Tekst przypisu dolnego Znak"/>
    <w:basedOn w:val="DefaultParagraphFont"/>
    <w:link w:val="Tekstprzypisudolnego"/>
    <w:uiPriority w:val="99"/>
    <w:semiHidden/>
    <w:qFormat/>
    <w:rsid w:val="00361ff4"/>
    <w:rPr>
      <w:rFonts w:ascii="Arial" w:hAnsi="Arial" w:eastAsia="Arial"/>
      <w:lang w:eastAsia="en-US"/>
    </w:rPr>
  </w:style>
  <w:style w:type="character" w:styleId="Czeinternetowe">
    <w:name w:val="Łącze internetowe"/>
    <w:basedOn w:val="DefaultParagraphFont"/>
    <w:uiPriority w:val="99"/>
    <w:unhideWhenUsed/>
    <w:rsid w:val="004f4412"/>
    <w:rPr>
      <w:color w:val="0563C1" w:themeColor="hyperlink"/>
      <w:u w:val="single"/>
    </w:rPr>
  </w:style>
  <w:style w:type="character" w:styleId="ListLabel1">
    <w:name w:val="ListLabel 1"/>
    <w:qFormat/>
    <w:rPr>
      <w:rFonts w:cs="Courier New"/>
    </w:rPr>
  </w:style>
  <w:style w:type="paragraph" w:styleId="Nagwek">
    <w:name w:val="Nagłówek"/>
    <w:basedOn w:val="Normal"/>
    <w:next w:val="Tretekstu"/>
    <w:qFormat/>
    <w:pPr>
      <w:keepNext/>
      <w:spacing w:before="240" w:after="120"/>
    </w:pPr>
    <w:rPr>
      <w:rFonts w:ascii="Liberation Sans" w:hAnsi="Liberation Sans" w:eastAsia="Microsoft YaHei" w:cs="Mangal"/>
      <w:sz w:val="28"/>
      <w:szCs w:val="28"/>
    </w:rPr>
  </w:style>
  <w:style w:type="paragraph" w:styleId="Tretekstu">
    <w:name w:val="Treść tekstu"/>
    <w:basedOn w:val="Normal"/>
    <w:pPr>
      <w:spacing w:lineRule="auto" w:line="288" w:before="0" w:after="140"/>
    </w:pPr>
    <w:rPr/>
  </w:style>
  <w:style w:type="paragraph" w:styleId="Lista">
    <w:name w:val="Lista"/>
    <w:basedOn w:val="Tretekstu"/>
    <w:pPr/>
    <w:rPr>
      <w:rFonts w:cs="Mangal"/>
    </w:rPr>
  </w:style>
  <w:style w:type="paragraph" w:styleId="Podpis">
    <w:name w:val="Podpis"/>
    <w:basedOn w:val="Normal"/>
    <w:pPr>
      <w:suppressLineNumbers/>
      <w:spacing w:before="120" w:after="120"/>
    </w:pPr>
    <w:rPr>
      <w:rFonts w:cs="Mangal"/>
      <w:i/>
      <w:iCs/>
      <w:sz w:val="24"/>
      <w:szCs w:val="24"/>
    </w:rPr>
  </w:style>
  <w:style w:type="paragraph" w:styleId="Indeks">
    <w:name w:val="Indeks"/>
    <w:basedOn w:val="Normal"/>
    <w:qFormat/>
    <w:pPr>
      <w:suppressLineNumbers/>
    </w:pPr>
    <w:rPr>
      <w:rFonts w:cs="Mangal"/>
    </w:rPr>
  </w:style>
  <w:style w:type="paragraph" w:styleId="NormalWeb">
    <w:name w:val="Normal (Web)"/>
    <w:basedOn w:val="Normal"/>
    <w:uiPriority w:val="99"/>
    <w:semiHidden/>
    <w:unhideWhenUsed/>
    <w:qFormat/>
    <w:pPr>
      <w:spacing w:beforeAutospacing="1" w:afterAutospacing="1"/>
    </w:pPr>
    <w:rPr/>
  </w:style>
  <w:style w:type="paragraph" w:styleId="Stopka">
    <w:name w:val="Stopka"/>
    <w:basedOn w:val="Normal"/>
    <w:link w:val="StopkaZnak"/>
    <w:uiPriority w:val="99"/>
    <w:unhideWhenUsed/>
    <w:rsid w:val="0041076b"/>
    <w:pPr>
      <w:tabs>
        <w:tab w:val="center" w:pos="4536" w:leader="none"/>
        <w:tab w:val="right" w:pos="9072" w:leader="none"/>
      </w:tabs>
    </w:pPr>
    <w:rPr>
      <w:rFonts w:ascii="Arial" w:hAnsi="Arial" w:eastAsia="Arial"/>
      <w:sz w:val="22"/>
      <w:szCs w:val="22"/>
      <w:lang w:eastAsia="en-US"/>
    </w:rPr>
  </w:style>
  <w:style w:type="paragraph" w:styleId="Normalny1" w:customStyle="1">
    <w:name w:val="Normalny1"/>
    <w:qFormat/>
    <w:rsid w:val="002e48be"/>
    <w:pPr>
      <w:widowControl/>
      <w:bidi w:val="0"/>
      <w:jc w:val="left"/>
    </w:pPr>
    <w:rPr>
      <w:rFonts w:ascii="Arial" w:hAnsi="Arial" w:eastAsia="Arial" w:cs="Arial"/>
      <w:color w:val="auto"/>
      <w:sz w:val="24"/>
      <w:szCs w:val="20"/>
      <w:lang w:val="pl-PL" w:eastAsia="pl-PL" w:bidi="ar-SA"/>
    </w:rPr>
  </w:style>
  <w:style w:type="paragraph" w:styleId="Normalny2" w:customStyle="1">
    <w:name w:val="Normalny2"/>
    <w:qFormat/>
    <w:rsid w:val="004b2e95"/>
    <w:pPr>
      <w:widowControl/>
      <w:bidi w:val="0"/>
      <w:spacing w:lineRule="auto" w:line="276"/>
      <w:jc w:val="left"/>
    </w:pPr>
    <w:rPr>
      <w:rFonts w:ascii="Arial" w:hAnsi="Arial" w:eastAsia="Arial" w:cs="Arial"/>
      <w:color w:val="auto"/>
      <w:sz w:val="22"/>
      <w:szCs w:val="22"/>
      <w:lang w:val="pl-PL" w:eastAsia="pl-PL" w:bidi="ar-SA"/>
    </w:rPr>
  </w:style>
  <w:style w:type="paragraph" w:styleId="Footnotetext">
    <w:name w:val="footnote text"/>
    <w:basedOn w:val="Normal"/>
    <w:link w:val="TekstprzypisudolnegoZnak"/>
    <w:uiPriority w:val="99"/>
    <w:semiHidden/>
    <w:unhideWhenUsed/>
    <w:qFormat/>
    <w:rsid w:val="00361ff4"/>
    <w:pPr/>
    <w:rPr>
      <w:rFonts w:ascii="Arial" w:hAnsi="Arial" w:eastAsia="Arial"/>
      <w:sz w:val="20"/>
      <w:szCs w:val="20"/>
      <w:lang w:eastAsia="en-US"/>
    </w:rPr>
  </w:style>
  <w:style w:type="paragraph" w:styleId="Cytaty">
    <w:name w:val="Cytaty"/>
    <w:basedOn w:val="Normal"/>
    <w:qFormat/>
    <w:pPr/>
    <w:rPr/>
  </w:style>
  <w:style w:type="paragraph" w:styleId="Tytu">
    <w:name w:val="Tytuł"/>
    <w:basedOn w:val="Nagwek"/>
    <w:pPr/>
    <w:rPr/>
  </w:style>
  <w:style w:type="paragraph" w:styleId="Podtytu">
    <w:name w:val="Podtytuł"/>
    <w:basedOn w:val="Nagwek"/>
    <w:pPr/>
    <w:rPr/>
  </w:style>
  <w:style w:type="numbering" w:styleId="NoList" w:default="1">
    <w:name w:val="No List"/>
    <w:uiPriority w:val="99"/>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ilonavollmer@ptp-podologia.pl"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45245D-FD5E-4C4F-9C96-13625BD71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Application>LibreOffice/5.0.2.2$Windows_x86 LibreOffice_project/37b43f919e4de5eeaca9b9755ed688758a8251fe</Application>
  <Paragraphs>86</Paragraphs>
  <Company>Ministerstwo Zdrowia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2019-04-15T12:37:00Z</dcterms:created>
  <dc:creator>Lewandowska Marta</dc:creator>
  <dc:language>pl-PL</dc:language>
  <cp:lastModifiedBy>Sobotka Monika</cp:lastModifiedBy>
  <dcterms:modified xsi:type="dcterms:W3CDTF">2019-04-15T12:52:00Z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Ministerstwo Zdrowia</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